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63E46" w14:textId="77777777" w:rsidR="003C3571" w:rsidRDefault="00337EFA">
      <w:pPr>
        <w:rPr>
          <w:rFonts w:ascii="Arial" w:hAnsi="Arial" w:cs="Arial"/>
        </w:rPr>
      </w:pPr>
      <w:r>
        <w:rPr>
          <w:rFonts w:ascii="Arial" w:hAnsi="Arial" w:cs="Arial"/>
          <w:noProof/>
          <w:lang w:eastAsia="en-GB"/>
        </w:rPr>
        <w:drawing>
          <wp:anchor distT="0" distB="0" distL="114935" distR="114935" simplePos="0" relativeHeight="251657728" behindDoc="0" locked="0" layoutInCell="1" allowOverlap="1" wp14:anchorId="5E813160" wp14:editId="1D50163B">
            <wp:simplePos x="0" y="0"/>
            <wp:positionH relativeFrom="page">
              <wp:align>left</wp:align>
            </wp:positionH>
            <wp:positionV relativeFrom="paragraph">
              <wp:posOffset>0</wp:posOffset>
            </wp:positionV>
            <wp:extent cx="7557770" cy="1160145"/>
            <wp:effectExtent l="0" t="0" r="508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7770" cy="1160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Ind w:w="-75" w:type="dxa"/>
        <w:tblLayout w:type="fixed"/>
        <w:tblLook w:val="0000" w:firstRow="0" w:lastRow="0" w:firstColumn="0" w:lastColumn="0" w:noHBand="0" w:noVBand="0"/>
      </w:tblPr>
      <w:tblGrid>
        <w:gridCol w:w="3017"/>
        <w:gridCol w:w="5873"/>
      </w:tblGrid>
      <w:tr w:rsidR="003C3571" w14:paraId="67251E6D" w14:textId="77777777" w:rsidTr="00226FE2">
        <w:tc>
          <w:tcPr>
            <w:tcW w:w="3017" w:type="dxa"/>
            <w:tcBorders>
              <w:top w:val="single" w:sz="4" w:space="0" w:color="000000"/>
              <w:left w:val="single" w:sz="4" w:space="0" w:color="000000"/>
            </w:tcBorders>
          </w:tcPr>
          <w:p w14:paraId="1C8FD494" w14:textId="77777777" w:rsidR="003C3571" w:rsidRDefault="003C3571" w:rsidP="00226FE2">
            <w:pPr>
              <w:pStyle w:val="Infotext"/>
              <w:snapToGrid w:val="0"/>
            </w:pPr>
            <w:r>
              <w:t>Meeting:</w:t>
            </w:r>
          </w:p>
          <w:p w14:paraId="54DB00BD" w14:textId="77777777" w:rsidR="003C3571" w:rsidRDefault="003C3571" w:rsidP="00226FE2">
            <w:pPr>
              <w:pStyle w:val="Infotext"/>
              <w:rPr>
                <w:rFonts w:cs="Arial"/>
              </w:rPr>
            </w:pPr>
          </w:p>
        </w:tc>
        <w:tc>
          <w:tcPr>
            <w:tcW w:w="5873" w:type="dxa"/>
            <w:tcBorders>
              <w:top w:val="single" w:sz="4" w:space="0" w:color="000000"/>
              <w:right w:val="single" w:sz="4" w:space="0" w:color="000000"/>
            </w:tcBorders>
          </w:tcPr>
          <w:p w14:paraId="70B83DBB" w14:textId="77777777" w:rsidR="003C3571" w:rsidRDefault="003C3571" w:rsidP="00226FE2">
            <w:pPr>
              <w:pStyle w:val="Infotext"/>
              <w:snapToGrid w:val="0"/>
              <w:rPr>
                <w:rFonts w:cs="Arial"/>
                <w:b/>
                <w:bCs/>
              </w:rPr>
            </w:pPr>
            <w:r>
              <w:rPr>
                <w:rFonts w:cs="Arial"/>
                <w:b/>
                <w:bCs/>
              </w:rPr>
              <w:t>Schools Forum</w:t>
            </w:r>
          </w:p>
        </w:tc>
      </w:tr>
      <w:tr w:rsidR="003C3571" w14:paraId="436B43FC" w14:textId="77777777" w:rsidTr="00226FE2">
        <w:trPr>
          <w:trHeight w:val="464"/>
        </w:trPr>
        <w:tc>
          <w:tcPr>
            <w:tcW w:w="3017" w:type="dxa"/>
            <w:tcBorders>
              <w:left w:val="single" w:sz="4" w:space="0" w:color="000000"/>
            </w:tcBorders>
          </w:tcPr>
          <w:p w14:paraId="160D203B" w14:textId="77777777" w:rsidR="003C3571" w:rsidRDefault="003C3571" w:rsidP="00226FE2">
            <w:pPr>
              <w:pStyle w:val="Infotext"/>
              <w:snapToGrid w:val="0"/>
            </w:pPr>
            <w:r>
              <w:t>Date:</w:t>
            </w:r>
          </w:p>
          <w:p w14:paraId="109A28BD" w14:textId="77777777" w:rsidR="003C3571" w:rsidRDefault="003C3571" w:rsidP="00226FE2">
            <w:pPr>
              <w:pStyle w:val="Infotext"/>
              <w:rPr>
                <w:rFonts w:cs="Arial"/>
              </w:rPr>
            </w:pPr>
          </w:p>
        </w:tc>
        <w:tc>
          <w:tcPr>
            <w:tcW w:w="5873" w:type="dxa"/>
            <w:tcBorders>
              <w:right w:val="single" w:sz="4" w:space="0" w:color="000000"/>
            </w:tcBorders>
          </w:tcPr>
          <w:p w14:paraId="0519A212" w14:textId="790739DB" w:rsidR="003C3571" w:rsidRDefault="00BE0F6B" w:rsidP="00226FE2">
            <w:pPr>
              <w:pStyle w:val="Infotext"/>
              <w:snapToGrid w:val="0"/>
              <w:rPr>
                <w:rFonts w:cs="Arial"/>
              </w:rPr>
            </w:pPr>
            <w:r>
              <w:rPr>
                <w:rFonts w:cs="Arial"/>
              </w:rPr>
              <w:t>16 November 2021</w:t>
            </w:r>
          </w:p>
        </w:tc>
      </w:tr>
      <w:tr w:rsidR="003C3571" w14:paraId="0E8D02C1" w14:textId="77777777" w:rsidTr="00226FE2">
        <w:tc>
          <w:tcPr>
            <w:tcW w:w="3017" w:type="dxa"/>
            <w:tcBorders>
              <w:left w:val="single" w:sz="4" w:space="0" w:color="000000"/>
            </w:tcBorders>
          </w:tcPr>
          <w:p w14:paraId="051C0446" w14:textId="77777777" w:rsidR="003C3571" w:rsidRDefault="003C3571" w:rsidP="00226FE2">
            <w:pPr>
              <w:pStyle w:val="Infotext"/>
              <w:snapToGrid w:val="0"/>
              <w:rPr>
                <w:rFonts w:cs="Arial"/>
              </w:rPr>
            </w:pPr>
            <w:r>
              <w:rPr>
                <w:rFonts w:cs="Arial"/>
              </w:rPr>
              <w:t>Subject:</w:t>
            </w:r>
          </w:p>
          <w:p w14:paraId="1EDCB039" w14:textId="77777777" w:rsidR="003C3571" w:rsidRDefault="003C3571" w:rsidP="00226FE2">
            <w:pPr>
              <w:pStyle w:val="Infotext"/>
            </w:pPr>
          </w:p>
        </w:tc>
        <w:tc>
          <w:tcPr>
            <w:tcW w:w="5873" w:type="dxa"/>
            <w:tcBorders>
              <w:right w:val="single" w:sz="4" w:space="0" w:color="000000"/>
            </w:tcBorders>
          </w:tcPr>
          <w:p w14:paraId="1361366E" w14:textId="36673C63" w:rsidR="003C3571" w:rsidRDefault="00CD1D6D" w:rsidP="00226FE2">
            <w:pPr>
              <w:pStyle w:val="Infotext"/>
              <w:snapToGrid w:val="0"/>
              <w:rPr>
                <w:rFonts w:cs="Arial"/>
                <w:b/>
              </w:rPr>
            </w:pPr>
            <w:r>
              <w:rPr>
                <w:rFonts w:cs="Arial"/>
                <w:b/>
              </w:rPr>
              <w:t xml:space="preserve">Item </w:t>
            </w:r>
            <w:r w:rsidR="00BE0F6B">
              <w:rPr>
                <w:rFonts w:cs="Arial"/>
                <w:b/>
              </w:rPr>
              <w:t>4</w:t>
            </w:r>
            <w:r w:rsidR="003C3571">
              <w:rPr>
                <w:rFonts w:cs="Arial"/>
                <w:b/>
              </w:rPr>
              <w:t xml:space="preserve">: </w:t>
            </w:r>
            <w:r w:rsidR="007E1C85">
              <w:rPr>
                <w:rFonts w:cs="Arial"/>
                <w:b/>
              </w:rPr>
              <w:t>202</w:t>
            </w:r>
            <w:r w:rsidR="004738B0">
              <w:rPr>
                <w:rFonts w:cs="Arial"/>
                <w:b/>
              </w:rPr>
              <w:t>1-22</w:t>
            </w:r>
            <w:r w:rsidR="00F827F5">
              <w:rPr>
                <w:rFonts w:cs="Arial"/>
                <w:b/>
              </w:rPr>
              <w:t xml:space="preserve"> DSG Budget Monitoring </w:t>
            </w:r>
          </w:p>
          <w:p w14:paraId="1371C486" w14:textId="77777777" w:rsidR="00C955DD" w:rsidRDefault="00C955DD" w:rsidP="00226FE2">
            <w:pPr>
              <w:pStyle w:val="Infotext"/>
              <w:snapToGrid w:val="0"/>
              <w:rPr>
                <w:rFonts w:cs="Arial"/>
                <w:b/>
              </w:rPr>
            </w:pPr>
          </w:p>
        </w:tc>
      </w:tr>
      <w:tr w:rsidR="003C3571" w14:paraId="5B2C4BD3" w14:textId="77777777" w:rsidTr="00226FE2">
        <w:tc>
          <w:tcPr>
            <w:tcW w:w="3017" w:type="dxa"/>
            <w:tcBorders>
              <w:left w:val="single" w:sz="4" w:space="0" w:color="000000"/>
              <w:bottom w:val="single" w:sz="4" w:space="0" w:color="000000"/>
            </w:tcBorders>
          </w:tcPr>
          <w:p w14:paraId="52AF50D2" w14:textId="77777777" w:rsidR="003C3571" w:rsidRDefault="003C3571" w:rsidP="00226FE2">
            <w:pPr>
              <w:pStyle w:val="Infotext"/>
              <w:snapToGrid w:val="0"/>
              <w:rPr>
                <w:rFonts w:cs="Arial"/>
              </w:rPr>
            </w:pPr>
            <w:r>
              <w:rPr>
                <w:rFonts w:cs="Arial"/>
              </w:rPr>
              <w:t>Responsible Officer:</w:t>
            </w:r>
          </w:p>
          <w:p w14:paraId="2ABC76A9" w14:textId="77777777" w:rsidR="003C3571" w:rsidRDefault="003C3571" w:rsidP="00226FE2">
            <w:pPr>
              <w:pStyle w:val="Infotext"/>
              <w:rPr>
                <w:rFonts w:cs="Arial"/>
              </w:rPr>
            </w:pPr>
          </w:p>
        </w:tc>
        <w:tc>
          <w:tcPr>
            <w:tcW w:w="5873" w:type="dxa"/>
            <w:tcBorders>
              <w:bottom w:val="single" w:sz="4" w:space="0" w:color="000000"/>
              <w:right w:val="single" w:sz="4" w:space="0" w:color="000000"/>
            </w:tcBorders>
          </w:tcPr>
          <w:p w14:paraId="1B20FA3A" w14:textId="77777777" w:rsidR="003C3571" w:rsidRDefault="003C3571" w:rsidP="00226FE2">
            <w:pPr>
              <w:pStyle w:val="Infotext"/>
              <w:snapToGrid w:val="0"/>
              <w:rPr>
                <w:rFonts w:cs="Arial"/>
              </w:rPr>
            </w:pPr>
            <w:r>
              <w:rPr>
                <w:rFonts w:cs="Arial"/>
              </w:rPr>
              <w:t>Jo Frost, Finance Business Partner – Children’s Services</w:t>
            </w:r>
          </w:p>
        </w:tc>
      </w:tr>
    </w:tbl>
    <w:p w14:paraId="4D65C5CD" w14:textId="77777777" w:rsidR="001E73E3" w:rsidRPr="001E73E3" w:rsidRDefault="001E73E3">
      <w:pPr>
        <w:rPr>
          <w:rFonts w:ascii="Arial" w:hAnsi="Arial" w:cs="Arial"/>
          <w:b/>
          <w:sz w:val="2"/>
          <w:szCs w:val="2"/>
        </w:rPr>
      </w:pPr>
    </w:p>
    <w:p w14:paraId="546235BE" w14:textId="77777777" w:rsidR="00CD190F" w:rsidRDefault="00CD190F">
      <w:pPr>
        <w:rPr>
          <w:rFonts w:ascii="Arial" w:hAnsi="Arial" w:cs="Arial"/>
          <w:b/>
          <w:sz w:val="32"/>
          <w:szCs w:val="32"/>
        </w:rPr>
      </w:pPr>
    </w:p>
    <w:p w14:paraId="56B4A5EB" w14:textId="77777777" w:rsidR="003C3571" w:rsidRPr="003C3571" w:rsidRDefault="003C3571">
      <w:pPr>
        <w:rPr>
          <w:rFonts w:ascii="Arial" w:hAnsi="Arial" w:cs="Arial"/>
          <w:b/>
          <w:sz w:val="32"/>
          <w:szCs w:val="32"/>
        </w:rPr>
      </w:pPr>
      <w:r w:rsidRPr="003C3571">
        <w:rPr>
          <w:rFonts w:ascii="Arial" w:hAnsi="Arial" w:cs="Arial"/>
          <w:b/>
          <w:sz w:val="32"/>
          <w:szCs w:val="32"/>
        </w:rPr>
        <w:t>Section 1 – summary</w:t>
      </w:r>
    </w:p>
    <w:p w14:paraId="6B4E17CA" w14:textId="0727DD98" w:rsidR="003C3571" w:rsidRPr="00967623" w:rsidRDefault="003C3571" w:rsidP="003C3571">
      <w:pPr>
        <w:numPr>
          <w:ilvl w:val="0"/>
          <w:numId w:val="1"/>
        </w:numPr>
        <w:rPr>
          <w:rFonts w:ascii="Arial" w:hAnsi="Arial" w:cs="Arial"/>
          <w:sz w:val="24"/>
          <w:szCs w:val="24"/>
        </w:rPr>
      </w:pPr>
      <w:r w:rsidRPr="00967623">
        <w:rPr>
          <w:rFonts w:ascii="Arial" w:hAnsi="Arial" w:cs="Arial"/>
          <w:sz w:val="24"/>
          <w:szCs w:val="24"/>
        </w:rPr>
        <w:t>This report is the</w:t>
      </w:r>
      <w:r w:rsidR="001D2DEB">
        <w:rPr>
          <w:rFonts w:ascii="Arial" w:hAnsi="Arial" w:cs="Arial"/>
          <w:sz w:val="24"/>
          <w:szCs w:val="24"/>
        </w:rPr>
        <w:t xml:space="preserve"> </w:t>
      </w:r>
      <w:r w:rsidR="007E1C85">
        <w:rPr>
          <w:rFonts w:ascii="Arial" w:hAnsi="Arial" w:cs="Arial"/>
          <w:sz w:val="24"/>
          <w:szCs w:val="24"/>
        </w:rPr>
        <w:t>202</w:t>
      </w:r>
      <w:r w:rsidR="004738B0">
        <w:rPr>
          <w:rFonts w:ascii="Arial" w:hAnsi="Arial" w:cs="Arial"/>
          <w:sz w:val="24"/>
          <w:szCs w:val="24"/>
        </w:rPr>
        <w:t>1-22</w:t>
      </w:r>
      <w:r w:rsidR="00B35E74">
        <w:rPr>
          <w:rFonts w:ascii="Arial" w:hAnsi="Arial" w:cs="Arial"/>
          <w:sz w:val="24"/>
          <w:szCs w:val="24"/>
        </w:rPr>
        <w:t xml:space="preserve"> </w:t>
      </w:r>
      <w:r w:rsidRPr="00967623">
        <w:rPr>
          <w:rFonts w:ascii="Arial" w:hAnsi="Arial" w:cs="Arial"/>
          <w:sz w:val="24"/>
          <w:szCs w:val="24"/>
        </w:rPr>
        <w:t>budget monitoring report for the Dedicated Schools Grant (DSG)</w:t>
      </w:r>
    </w:p>
    <w:p w14:paraId="2DF37E0B" w14:textId="77777777" w:rsidR="003C3571" w:rsidRPr="00967623" w:rsidRDefault="003C3571" w:rsidP="00CD1D6D">
      <w:pPr>
        <w:numPr>
          <w:ilvl w:val="1"/>
          <w:numId w:val="2"/>
        </w:numPr>
        <w:spacing w:line="240" w:lineRule="exact"/>
        <w:ind w:left="1434" w:hanging="357"/>
        <w:rPr>
          <w:rFonts w:ascii="Arial" w:hAnsi="Arial" w:cs="Arial"/>
          <w:sz w:val="24"/>
          <w:szCs w:val="24"/>
        </w:rPr>
      </w:pPr>
      <w:r w:rsidRPr="00967623">
        <w:rPr>
          <w:rFonts w:ascii="Arial" w:hAnsi="Arial" w:cs="Arial"/>
          <w:sz w:val="24"/>
          <w:szCs w:val="24"/>
        </w:rPr>
        <w:t>Schools Block</w:t>
      </w:r>
    </w:p>
    <w:p w14:paraId="713747EE" w14:textId="77777777" w:rsidR="003C3571" w:rsidRPr="00967623" w:rsidRDefault="003C3571" w:rsidP="00CD1D6D">
      <w:pPr>
        <w:numPr>
          <w:ilvl w:val="1"/>
          <w:numId w:val="2"/>
        </w:numPr>
        <w:spacing w:line="240" w:lineRule="exact"/>
        <w:ind w:left="1434" w:hanging="357"/>
        <w:rPr>
          <w:rFonts w:ascii="Arial" w:hAnsi="Arial" w:cs="Arial"/>
          <w:sz w:val="24"/>
          <w:szCs w:val="24"/>
        </w:rPr>
      </w:pPr>
      <w:r w:rsidRPr="00967623">
        <w:rPr>
          <w:rFonts w:ascii="Arial" w:hAnsi="Arial" w:cs="Arial"/>
          <w:sz w:val="24"/>
          <w:szCs w:val="24"/>
        </w:rPr>
        <w:t>Early Years Block</w:t>
      </w:r>
    </w:p>
    <w:p w14:paraId="70CF70CA" w14:textId="77777777" w:rsidR="003C3571" w:rsidRPr="00967623" w:rsidRDefault="003C3571" w:rsidP="00CD1D6D">
      <w:pPr>
        <w:numPr>
          <w:ilvl w:val="1"/>
          <w:numId w:val="2"/>
        </w:numPr>
        <w:spacing w:line="240" w:lineRule="exact"/>
        <w:ind w:left="1434" w:hanging="357"/>
        <w:rPr>
          <w:rFonts w:ascii="Arial" w:hAnsi="Arial" w:cs="Arial"/>
          <w:sz w:val="24"/>
          <w:szCs w:val="24"/>
        </w:rPr>
      </w:pPr>
      <w:r w:rsidRPr="00967623">
        <w:rPr>
          <w:rFonts w:ascii="Arial" w:hAnsi="Arial" w:cs="Arial"/>
          <w:sz w:val="24"/>
          <w:szCs w:val="24"/>
        </w:rPr>
        <w:t>High Needs Block</w:t>
      </w:r>
    </w:p>
    <w:p w14:paraId="6126F4FC" w14:textId="77777777" w:rsidR="003C3571" w:rsidRDefault="003C3571" w:rsidP="00CD1D6D">
      <w:pPr>
        <w:numPr>
          <w:ilvl w:val="1"/>
          <w:numId w:val="2"/>
        </w:numPr>
        <w:spacing w:line="240" w:lineRule="exact"/>
        <w:ind w:left="1434" w:hanging="357"/>
        <w:rPr>
          <w:rFonts w:ascii="Arial" w:hAnsi="Arial" w:cs="Arial"/>
          <w:sz w:val="24"/>
          <w:szCs w:val="24"/>
        </w:rPr>
      </w:pPr>
      <w:r w:rsidRPr="00967623">
        <w:rPr>
          <w:rFonts w:ascii="Arial" w:hAnsi="Arial" w:cs="Arial"/>
          <w:sz w:val="24"/>
          <w:szCs w:val="24"/>
        </w:rPr>
        <w:t>Centrally retained and de-delegated budgets</w:t>
      </w:r>
    </w:p>
    <w:p w14:paraId="2E914E46" w14:textId="77777777" w:rsidR="00124FF5" w:rsidRDefault="00124FF5" w:rsidP="00124FF5">
      <w:pPr>
        <w:pStyle w:val="ListParagraph"/>
        <w:spacing w:line="240" w:lineRule="exact"/>
        <w:rPr>
          <w:rFonts w:ascii="Arial" w:hAnsi="Arial" w:cs="Arial"/>
          <w:sz w:val="24"/>
          <w:szCs w:val="24"/>
        </w:rPr>
      </w:pPr>
    </w:p>
    <w:p w14:paraId="1774AE65" w14:textId="77777777" w:rsidR="00124FF5" w:rsidRDefault="00124FF5" w:rsidP="00124FF5">
      <w:pPr>
        <w:pStyle w:val="ListParagraph"/>
        <w:spacing w:line="240" w:lineRule="exact"/>
        <w:rPr>
          <w:rFonts w:ascii="Arial" w:hAnsi="Arial" w:cs="Arial"/>
          <w:sz w:val="24"/>
          <w:szCs w:val="24"/>
        </w:rPr>
      </w:pPr>
    </w:p>
    <w:p w14:paraId="72531FCC" w14:textId="77777777" w:rsidR="00BB5AFA" w:rsidRDefault="00BB5AFA" w:rsidP="00BB5AFA">
      <w:pPr>
        <w:pStyle w:val="ListParagraph"/>
        <w:numPr>
          <w:ilvl w:val="0"/>
          <w:numId w:val="2"/>
        </w:numPr>
        <w:spacing w:line="240" w:lineRule="exact"/>
        <w:rPr>
          <w:rFonts w:ascii="Arial" w:hAnsi="Arial" w:cs="Arial"/>
          <w:sz w:val="24"/>
          <w:szCs w:val="24"/>
        </w:rPr>
      </w:pPr>
      <w:r>
        <w:rPr>
          <w:rFonts w:ascii="Arial" w:hAnsi="Arial" w:cs="Arial"/>
          <w:sz w:val="24"/>
          <w:szCs w:val="24"/>
        </w:rPr>
        <w:t>Schools</w:t>
      </w:r>
      <w:r w:rsidR="00124FF5">
        <w:rPr>
          <w:rFonts w:ascii="Arial" w:hAnsi="Arial" w:cs="Arial"/>
          <w:sz w:val="24"/>
          <w:szCs w:val="24"/>
        </w:rPr>
        <w:t xml:space="preserve"> Forum</w:t>
      </w:r>
      <w:r>
        <w:rPr>
          <w:rFonts w:ascii="Arial" w:hAnsi="Arial" w:cs="Arial"/>
          <w:sz w:val="24"/>
          <w:szCs w:val="24"/>
        </w:rPr>
        <w:t xml:space="preserve"> is required to:</w:t>
      </w:r>
    </w:p>
    <w:p w14:paraId="79F7BD68" w14:textId="77777777" w:rsidR="00124FF5" w:rsidRDefault="00124FF5" w:rsidP="00124FF5">
      <w:pPr>
        <w:pStyle w:val="ListParagraph"/>
        <w:spacing w:line="240" w:lineRule="exact"/>
        <w:ind w:left="1440"/>
        <w:rPr>
          <w:rFonts w:ascii="Arial" w:hAnsi="Arial" w:cs="Arial"/>
          <w:sz w:val="24"/>
          <w:szCs w:val="24"/>
        </w:rPr>
      </w:pPr>
    </w:p>
    <w:p w14:paraId="0EC4A557" w14:textId="2E1E73FB" w:rsidR="004F4786" w:rsidRPr="004F4786" w:rsidRDefault="00BB5AFA" w:rsidP="004F4786">
      <w:pPr>
        <w:pStyle w:val="ListParagraph"/>
        <w:numPr>
          <w:ilvl w:val="1"/>
          <w:numId w:val="2"/>
        </w:numPr>
        <w:spacing w:line="240" w:lineRule="exact"/>
        <w:rPr>
          <w:rFonts w:ascii="Arial" w:hAnsi="Arial" w:cs="Arial"/>
          <w:sz w:val="24"/>
          <w:szCs w:val="24"/>
        </w:rPr>
      </w:pPr>
      <w:r>
        <w:rPr>
          <w:rFonts w:ascii="Arial" w:hAnsi="Arial" w:cs="Arial"/>
          <w:sz w:val="24"/>
          <w:szCs w:val="24"/>
        </w:rPr>
        <w:t>Note the position on the overall DSG</w:t>
      </w:r>
    </w:p>
    <w:p w14:paraId="5ED925A3" w14:textId="77777777" w:rsidR="00124FF5" w:rsidRDefault="00124FF5" w:rsidP="00124FF5">
      <w:pPr>
        <w:pStyle w:val="ListParagraph"/>
        <w:spacing w:line="240" w:lineRule="exact"/>
        <w:ind w:left="1440"/>
        <w:rPr>
          <w:rFonts w:ascii="Arial" w:hAnsi="Arial" w:cs="Arial"/>
          <w:sz w:val="24"/>
          <w:szCs w:val="24"/>
        </w:rPr>
      </w:pPr>
    </w:p>
    <w:p w14:paraId="221BBDFA" w14:textId="69D9A04D" w:rsidR="004F4786" w:rsidRDefault="004F4786" w:rsidP="004F4786">
      <w:pPr>
        <w:pStyle w:val="ListParagraph"/>
        <w:numPr>
          <w:ilvl w:val="1"/>
          <w:numId w:val="2"/>
        </w:numPr>
        <w:spacing w:line="240" w:lineRule="exact"/>
        <w:rPr>
          <w:rFonts w:ascii="Arial" w:hAnsi="Arial" w:cs="Arial"/>
          <w:sz w:val="24"/>
          <w:szCs w:val="24"/>
        </w:rPr>
      </w:pPr>
      <w:r>
        <w:rPr>
          <w:rFonts w:ascii="Arial" w:hAnsi="Arial" w:cs="Arial"/>
          <w:sz w:val="24"/>
          <w:szCs w:val="24"/>
        </w:rPr>
        <w:t>Note the position on the Early Years Block</w:t>
      </w:r>
    </w:p>
    <w:p w14:paraId="1D53E847" w14:textId="77777777" w:rsidR="004F4786" w:rsidRPr="004F4786" w:rsidRDefault="004F4786" w:rsidP="004F4786">
      <w:pPr>
        <w:pStyle w:val="ListParagraph"/>
        <w:rPr>
          <w:rFonts w:ascii="Arial" w:hAnsi="Arial" w:cs="Arial"/>
          <w:sz w:val="24"/>
          <w:szCs w:val="24"/>
        </w:rPr>
      </w:pPr>
    </w:p>
    <w:p w14:paraId="2CAD4328" w14:textId="3A47F541" w:rsidR="00124FF5" w:rsidRPr="004F4786" w:rsidRDefault="00BB5AFA" w:rsidP="004F4786">
      <w:pPr>
        <w:pStyle w:val="ListParagraph"/>
        <w:numPr>
          <w:ilvl w:val="1"/>
          <w:numId w:val="2"/>
        </w:numPr>
        <w:spacing w:line="240" w:lineRule="exact"/>
        <w:rPr>
          <w:rFonts w:ascii="Arial" w:hAnsi="Arial" w:cs="Arial"/>
          <w:sz w:val="24"/>
          <w:szCs w:val="24"/>
        </w:rPr>
      </w:pPr>
      <w:r>
        <w:rPr>
          <w:rFonts w:ascii="Arial" w:hAnsi="Arial" w:cs="Arial"/>
          <w:sz w:val="24"/>
          <w:szCs w:val="24"/>
        </w:rPr>
        <w:t>Note the position on the H</w:t>
      </w:r>
      <w:r w:rsidR="004F4786">
        <w:rPr>
          <w:rFonts w:ascii="Arial" w:hAnsi="Arial" w:cs="Arial"/>
          <w:sz w:val="24"/>
          <w:szCs w:val="24"/>
        </w:rPr>
        <w:t>igh Needs Block</w:t>
      </w:r>
    </w:p>
    <w:p w14:paraId="73391343" w14:textId="77777777" w:rsidR="004F4786" w:rsidRDefault="004F4786" w:rsidP="004F4786">
      <w:pPr>
        <w:pStyle w:val="ListParagraph"/>
        <w:spacing w:line="240" w:lineRule="exact"/>
        <w:ind w:left="1440"/>
        <w:rPr>
          <w:rFonts w:ascii="Arial" w:hAnsi="Arial" w:cs="Arial"/>
          <w:sz w:val="24"/>
          <w:szCs w:val="24"/>
        </w:rPr>
      </w:pPr>
    </w:p>
    <w:p w14:paraId="0DF62568" w14:textId="6989F3B3" w:rsidR="00124FF5" w:rsidRPr="00BB5AFA" w:rsidRDefault="004F4786" w:rsidP="00BB5AFA">
      <w:pPr>
        <w:pStyle w:val="ListParagraph"/>
        <w:numPr>
          <w:ilvl w:val="1"/>
          <w:numId w:val="2"/>
        </w:numPr>
        <w:spacing w:line="240" w:lineRule="exact"/>
        <w:rPr>
          <w:rFonts w:ascii="Arial" w:hAnsi="Arial" w:cs="Arial"/>
          <w:sz w:val="24"/>
          <w:szCs w:val="24"/>
        </w:rPr>
      </w:pPr>
      <w:r>
        <w:rPr>
          <w:rFonts w:ascii="Arial" w:hAnsi="Arial" w:cs="Arial"/>
          <w:sz w:val="24"/>
          <w:szCs w:val="24"/>
        </w:rPr>
        <w:t>Agree the position on the contingency</w:t>
      </w:r>
    </w:p>
    <w:p w14:paraId="3705D263" w14:textId="77777777" w:rsidR="00124FF5" w:rsidRDefault="00124FF5" w:rsidP="003C3571">
      <w:pPr>
        <w:rPr>
          <w:rFonts w:ascii="Arial" w:hAnsi="Arial" w:cs="Arial"/>
          <w:b/>
          <w:sz w:val="32"/>
          <w:szCs w:val="32"/>
        </w:rPr>
      </w:pPr>
    </w:p>
    <w:p w14:paraId="7564DE01" w14:textId="77777777" w:rsidR="00124FF5" w:rsidRDefault="00124FF5" w:rsidP="003C3571">
      <w:pPr>
        <w:rPr>
          <w:rFonts w:ascii="Arial" w:hAnsi="Arial" w:cs="Arial"/>
          <w:b/>
          <w:sz w:val="32"/>
          <w:szCs w:val="32"/>
        </w:rPr>
      </w:pPr>
    </w:p>
    <w:p w14:paraId="39A5B57D" w14:textId="77777777" w:rsidR="00124FF5" w:rsidRDefault="00124FF5" w:rsidP="003C3571">
      <w:pPr>
        <w:rPr>
          <w:rFonts w:ascii="Arial" w:hAnsi="Arial" w:cs="Arial"/>
          <w:b/>
          <w:sz w:val="32"/>
          <w:szCs w:val="32"/>
        </w:rPr>
      </w:pPr>
    </w:p>
    <w:p w14:paraId="25305042" w14:textId="77777777" w:rsidR="003C3571" w:rsidRPr="00CF29CD" w:rsidRDefault="003C3571" w:rsidP="003C3571">
      <w:pPr>
        <w:rPr>
          <w:rFonts w:ascii="Arial" w:hAnsi="Arial" w:cs="Arial"/>
          <w:b/>
          <w:sz w:val="32"/>
          <w:szCs w:val="32"/>
        </w:rPr>
      </w:pPr>
      <w:r w:rsidRPr="00CF29CD">
        <w:rPr>
          <w:rFonts w:ascii="Arial" w:hAnsi="Arial" w:cs="Arial"/>
          <w:b/>
          <w:sz w:val="32"/>
          <w:szCs w:val="32"/>
        </w:rPr>
        <w:lastRenderedPageBreak/>
        <w:t>Section 2 – report</w:t>
      </w:r>
    </w:p>
    <w:p w14:paraId="4983B145" w14:textId="13E29118" w:rsidR="003C3571" w:rsidRPr="00BD6787" w:rsidRDefault="003C3571" w:rsidP="003C3571">
      <w:pPr>
        <w:numPr>
          <w:ilvl w:val="0"/>
          <w:numId w:val="1"/>
        </w:numPr>
        <w:rPr>
          <w:rFonts w:ascii="Arial" w:hAnsi="Arial" w:cs="Arial"/>
          <w:sz w:val="24"/>
          <w:szCs w:val="24"/>
        </w:rPr>
      </w:pPr>
      <w:r w:rsidRPr="00CF29CD">
        <w:rPr>
          <w:rFonts w:ascii="Arial" w:hAnsi="Arial" w:cs="Arial"/>
          <w:sz w:val="24"/>
          <w:szCs w:val="24"/>
        </w:rPr>
        <w:t xml:space="preserve">The </w:t>
      </w:r>
      <w:r w:rsidR="0008591D" w:rsidRPr="00CF29CD">
        <w:rPr>
          <w:rFonts w:ascii="Arial" w:hAnsi="Arial" w:cs="Arial"/>
          <w:sz w:val="24"/>
          <w:szCs w:val="24"/>
        </w:rPr>
        <w:t>total</w:t>
      </w:r>
      <w:r w:rsidR="00B35E74" w:rsidRPr="00CF29CD">
        <w:rPr>
          <w:rFonts w:ascii="Arial" w:hAnsi="Arial" w:cs="Arial"/>
          <w:sz w:val="24"/>
          <w:szCs w:val="24"/>
        </w:rPr>
        <w:t xml:space="preserve"> </w:t>
      </w:r>
      <w:r w:rsidR="00B35E74" w:rsidRPr="00F03EE7">
        <w:rPr>
          <w:rFonts w:ascii="Arial" w:hAnsi="Arial" w:cs="Arial"/>
          <w:sz w:val="24"/>
          <w:szCs w:val="24"/>
        </w:rPr>
        <w:t xml:space="preserve">notified </w:t>
      </w:r>
      <w:r w:rsidR="0008591D" w:rsidRPr="00F03EE7">
        <w:rPr>
          <w:rFonts w:ascii="Arial" w:hAnsi="Arial" w:cs="Arial"/>
          <w:sz w:val="24"/>
          <w:szCs w:val="24"/>
        </w:rPr>
        <w:t>DSG budget</w:t>
      </w:r>
      <w:r w:rsidR="00CD1D6D" w:rsidRPr="00F03EE7">
        <w:rPr>
          <w:rFonts w:ascii="Arial" w:hAnsi="Arial" w:cs="Arial"/>
          <w:sz w:val="24"/>
          <w:szCs w:val="24"/>
        </w:rPr>
        <w:t xml:space="preserve"> </w:t>
      </w:r>
      <w:r w:rsidR="004F7D63" w:rsidRPr="00F03EE7">
        <w:rPr>
          <w:rFonts w:ascii="Arial" w:hAnsi="Arial" w:cs="Arial"/>
          <w:sz w:val="24"/>
          <w:szCs w:val="24"/>
        </w:rPr>
        <w:t xml:space="preserve">after recoupment for academies and high needs places </w:t>
      </w:r>
      <w:r w:rsidR="00647B5C" w:rsidRPr="00F03EE7">
        <w:rPr>
          <w:rFonts w:ascii="Arial" w:hAnsi="Arial" w:cs="Arial"/>
          <w:sz w:val="24"/>
          <w:szCs w:val="24"/>
        </w:rPr>
        <w:t>as at Q</w:t>
      </w:r>
      <w:r w:rsidR="00BE0F6B">
        <w:rPr>
          <w:rFonts w:ascii="Arial" w:hAnsi="Arial" w:cs="Arial"/>
          <w:sz w:val="24"/>
          <w:szCs w:val="24"/>
        </w:rPr>
        <w:t>2</w:t>
      </w:r>
      <w:r w:rsidR="00647B5C" w:rsidRPr="00F03EE7">
        <w:rPr>
          <w:rFonts w:ascii="Arial" w:hAnsi="Arial" w:cs="Arial"/>
          <w:sz w:val="24"/>
          <w:szCs w:val="24"/>
        </w:rPr>
        <w:t xml:space="preserve"> is </w:t>
      </w:r>
      <w:r w:rsidR="004F7D63" w:rsidRPr="00F03EE7">
        <w:rPr>
          <w:rFonts w:ascii="Arial" w:hAnsi="Arial" w:cs="Arial"/>
          <w:sz w:val="24"/>
          <w:szCs w:val="24"/>
        </w:rPr>
        <w:t>£</w:t>
      </w:r>
      <w:r w:rsidR="00F03EE7" w:rsidRPr="00F03EE7">
        <w:rPr>
          <w:rFonts w:ascii="Arial" w:hAnsi="Arial" w:cs="Arial"/>
          <w:sz w:val="24"/>
          <w:szCs w:val="24"/>
        </w:rPr>
        <w:t>13</w:t>
      </w:r>
      <w:r w:rsidR="00DB2126">
        <w:rPr>
          <w:rFonts w:ascii="Arial" w:hAnsi="Arial" w:cs="Arial"/>
          <w:sz w:val="24"/>
          <w:szCs w:val="24"/>
        </w:rPr>
        <w:t>9.</w:t>
      </w:r>
      <w:r w:rsidR="007579ED">
        <w:rPr>
          <w:rFonts w:ascii="Arial" w:hAnsi="Arial" w:cs="Arial"/>
          <w:sz w:val="24"/>
          <w:szCs w:val="24"/>
        </w:rPr>
        <w:t>210</w:t>
      </w:r>
      <w:r w:rsidR="00F71D53">
        <w:rPr>
          <w:rFonts w:ascii="Arial" w:hAnsi="Arial" w:cs="Arial"/>
          <w:sz w:val="24"/>
          <w:szCs w:val="24"/>
        </w:rPr>
        <w:t>m</w:t>
      </w:r>
      <w:r w:rsidRPr="00F03EE7">
        <w:rPr>
          <w:rFonts w:ascii="Arial" w:hAnsi="Arial" w:cs="Arial"/>
          <w:sz w:val="24"/>
          <w:szCs w:val="24"/>
        </w:rPr>
        <w:t>.</w:t>
      </w:r>
      <w:r w:rsidR="00933660" w:rsidRPr="00F03EE7">
        <w:rPr>
          <w:rFonts w:ascii="Arial" w:hAnsi="Arial" w:cs="Arial"/>
          <w:sz w:val="24"/>
          <w:szCs w:val="24"/>
        </w:rPr>
        <w:t xml:space="preserve"> </w:t>
      </w:r>
      <w:r w:rsidRPr="00F03EE7">
        <w:rPr>
          <w:rFonts w:ascii="Arial" w:hAnsi="Arial" w:cs="Arial"/>
          <w:sz w:val="24"/>
          <w:szCs w:val="24"/>
        </w:rPr>
        <w:t>A summary of funding blocks and forecast expenditure is shown at Table 1</w:t>
      </w:r>
      <w:r w:rsidR="00B35E74" w:rsidRPr="00F03EE7">
        <w:rPr>
          <w:rFonts w:ascii="Arial" w:hAnsi="Arial" w:cs="Arial"/>
          <w:sz w:val="24"/>
          <w:szCs w:val="24"/>
        </w:rPr>
        <w:t>.</w:t>
      </w:r>
    </w:p>
    <w:p w14:paraId="5C346DDF" w14:textId="0D5D93FC" w:rsidR="004F7D63" w:rsidRPr="00F03EE7" w:rsidRDefault="003516DA" w:rsidP="003C3571">
      <w:pPr>
        <w:numPr>
          <w:ilvl w:val="0"/>
          <w:numId w:val="1"/>
        </w:numPr>
        <w:rPr>
          <w:rFonts w:ascii="Arial" w:hAnsi="Arial" w:cs="Arial"/>
          <w:sz w:val="24"/>
          <w:szCs w:val="24"/>
        </w:rPr>
      </w:pPr>
      <w:r w:rsidRPr="00BD6787">
        <w:rPr>
          <w:rFonts w:ascii="Arial" w:hAnsi="Arial" w:cs="Arial"/>
          <w:sz w:val="24"/>
          <w:szCs w:val="24"/>
        </w:rPr>
        <w:t xml:space="preserve">There is </w:t>
      </w:r>
      <w:r w:rsidR="004F7D63">
        <w:rPr>
          <w:rFonts w:ascii="Arial" w:hAnsi="Arial" w:cs="Arial"/>
          <w:sz w:val="24"/>
          <w:szCs w:val="24"/>
        </w:rPr>
        <w:t xml:space="preserve">a projected overspend on the High Needs </w:t>
      </w:r>
      <w:r w:rsidR="004F7D63" w:rsidRPr="00F03EE7">
        <w:rPr>
          <w:rFonts w:ascii="Arial" w:hAnsi="Arial" w:cs="Arial"/>
          <w:sz w:val="24"/>
          <w:szCs w:val="24"/>
        </w:rPr>
        <w:t>Block of £</w:t>
      </w:r>
      <w:r w:rsidR="006B1BE2">
        <w:rPr>
          <w:rFonts w:ascii="Arial" w:hAnsi="Arial" w:cs="Arial"/>
          <w:sz w:val="24"/>
          <w:szCs w:val="24"/>
        </w:rPr>
        <w:t>1.</w:t>
      </w:r>
      <w:r w:rsidR="007579ED">
        <w:rPr>
          <w:rFonts w:ascii="Arial" w:hAnsi="Arial" w:cs="Arial"/>
          <w:sz w:val="24"/>
          <w:szCs w:val="24"/>
        </w:rPr>
        <w:t>164</w:t>
      </w:r>
      <w:r w:rsidR="006B1BE2">
        <w:rPr>
          <w:rFonts w:ascii="Arial" w:hAnsi="Arial" w:cs="Arial"/>
          <w:sz w:val="24"/>
          <w:szCs w:val="24"/>
        </w:rPr>
        <w:t>m</w:t>
      </w:r>
      <w:r w:rsidR="007579ED">
        <w:rPr>
          <w:rFonts w:ascii="Arial" w:hAnsi="Arial" w:cs="Arial"/>
          <w:sz w:val="24"/>
          <w:szCs w:val="24"/>
        </w:rPr>
        <w:t xml:space="preserve"> and an underspend on the growth fund of £777k</w:t>
      </w:r>
      <w:r w:rsidR="00DB2126">
        <w:rPr>
          <w:rFonts w:ascii="Arial" w:hAnsi="Arial" w:cs="Arial"/>
          <w:sz w:val="24"/>
          <w:szCs w:val="24"/>
        </w:rPr>
        <w:t>.</w:t>
      </w:r>
    </w:p>
    <w:p w14:paraId="6267DAA1" w14:textId="6F033824" w:rsidR="003C3571" w:rsidRPr="00CF29CD" w:rsidRDefault="003C3571" w:rsidP="003C3571">
      <w:pPr>
        <w:rPr>
          <w:rFonts w:ascii="Arial" w:hAnsi="Arial" w:cs="Arial"/>
          <w:b/>
          <w:sz w:val="24"/>
          <w:szCs w:val="24"/>
        </w:rPr>
      </w:pPr>
      <w:r w:rsidRPr="00CF29CD">
        <w:rPr>
          <w:rFonts w:ascii="Arial" w:hAnsi="Arial" w:cs="Arial"/>
          <w:b/>
          <w:sz w:val="24"/>
          <w:szCs w:val="24"/>
        </w:rPr>
        <w:t xml:space="preserve">Table 1 – DSG budget and forecast </w:t>
      </w:r>
      <w:r w:rsidR="007E1C85">
        <w:rPr>
          <w:rFonts w:ascii="Arial" w:hAnsi="Arial" w:cs="Arial"/>
          <w:b/>
          <w:bCs/>
        </w:rPr>
        <w:t>202</w:t>
      </w:r>
      <w:r w:rsidR="004738B0">
        <w:rPr>
          <w:rFonts w:ascii="Arial" w:hAnsi="Arial" w:cs="Arial"/>
          <w:b/>
          <w:bCs/>
        </w:rPr>
        <w:t>1-22</w:t>
      </w:r>
    </w:p>
    <w:tbl>
      <w:tblPr>
        <w:tblStyle w:val="TableGrid"/>
        <w:tblW w:w="0" w:type="auto"/>
        <w:tblLook w:val="04A0" w:firstRow="1" w:lastRow="0" w:firstColumn="1" w:lastColumn="0" w:noHBand="0" w:noVBand="1"/>
      </w:tblPr>
      <w:tblGrid>
        <w:gridCol w:w="3798"/>
        <w:gridCol w:w="1809"/>
        <w:gridCol w:w="2081"/>
        <w:gridCol w:w="1328"/>
      </w:tblGrid>
      <w:tr w:rsidR="009033A2" w14:paraId="396F32D9" w14:textId="77777777" w:rsidTr="007E1C85">
        <w:trPr>
          <w:trHeight w:hRule="exact" w:val="567"/>
        </w:trPr>
        <w:tc>
          <w:tcPr>
            <w:tcW w:w="3798" w:type="dxa"/>
            <w:vAlign w:val="bottom"/>
          </w:tcPr>
          <w:p w14:paraId="453B2B6E" w14:textId="77777777" w:rsidR="009033A2" w:rsidRDefault="009033A2">
            <w:pPr>
              <w:rPr>
                <w:rFonts w:ascii="Arial" w:hAnsi="Arial" w:cs="Arial"/>
                <w:b/>
                <w:bCs/>
                <w:color w:val="000000"/>
              </w:rPr>
            </w:pPr>
            <w:r>
              <w:rPr>
                <w:rFonts w:ascii="Arial" w:hAnsi="Arial" w:cs="Arial"/>
                <w:b/>
                <w:bCs/>
                <w:color w:val="000000"/>
              </w:rPr>
              <w:t>Block</w:t>
            </w:r>
          </w:p>
        </w:tc>
        <w:tc>
          <w:tcPr>
            <w:tcW w:w="1809" w:type="dxa"/>
            <w:vAlign w:val="center"/>
          </w:tcPr>
          <w:p w14:paraId="09FDE5BE" w14:textId="466B4EB2" w:rsidR="009033A2" w:rsidRPr="006B1BE2" w:rsidRDefault="004F7D63">
            <w:pPr>
              <w:jc w:val="center"/>
              <w:rPr>
                <w:rFonts w:ascii="Arial" w:hAnsi="Arial" w:cs="Arial"/>
                <w:b/>
                <w:bCs/>
              </w:rPr>
            </w:pPr>
            <w:r w:rsidRPr="006B1BE2">
              <w:rPr>
                <w:rFonts w:ascii="Arial" w:hAnsi="Arial" w:cs="Arial"/>
                <w:b/>
                <w:bCs/>
              </w:rPr>
              <w:t>20</w:t>
            </w:r>
            <w:r w:rsidR="007E1C85" w:rsidRPr="006B1BE2">
              <w:rPr>
                <w:rFonts w:ascii="Arial" w:hAnsi="Arial" w:cs="Arial"/>
                <w:b/>
                <w:bCs/>
              </w:rPr>
              <w:t>2</w:t>
            </w:r>
            <w:r w:rsidR="004738B0" w:rsidRPr="006B1BE2">
              <w:rPr>
                <w:rFonts w:ascii="Arial" w:hAnsi="Arial" w:cs="Arial"/>
                <w:b/>
                <w:bCs/>
              </w:rPr>
              <w:t xml:space="preserve">1-22 </w:t>
            </w:r>
            <w:r w:rsidR="009033A2" w:rsidRPr="006B1BE2">
              <w:rPr>
                <w:rFonts w:ascii="Arial" w:hAnsi="Arial" w:cs="Arial"/>
                <w:b/>
                <w:bCs/>
              </w:rPr>
              <w:t>Budget £’000</w:t>
            </w:r>
          </w:p>
        </w:tc>
        <w:tc>
          <w:tcPr>
            <w:tcW w:w="2081" w:type="dxa"/>
            <w:vAlign w:val="center"/>
          </w:tcPr>
          <w:p w14:paraId="6C636823" w14:textId="1BF96125" w:rsidR="009033A2" w:rsidRPr="006B1BE2" w:rsidRDefault="007E1C85">
            <w:pPr>
              <w:jc w:val="center"/>
              <w:rPr>
                <w:rFonts w:ascii="Arial" w:hAnsi="Arial" w:cs="Arial"/>
                <w:b/>
                <w:bCs/>
              </w:rPr>
            </w:pPr>
            <w:r w:rsidRPr="006B1BE2">
              <w:rPr>
                <w:rFonts w:ascii="Arial" w:hAnsi="Arial" w:cs="Arial"/>
                <w:b/>
                <w:bCs/>
              </w:rPr>
              <w:t>202</w:t>
            </w:r>
            <w:r w:rsidR="004738B0" w:rsidRPr="006B1BE2">
              <w:rPr>
                <w:rFonts w:ascii="Arial" w:hAnsi="Arial" w:cs="Arial"/>
                <w:b/>
                <w:bCs/>
              </w:rPr>
              <w:t>1-22</w:t>
            </w:r>
            <w:r w:rsidRPr="006B1BE2">
              <w:rPr>
                <w:rFonts w:ascii="Arial" w:hAnsi="Arial" w:cs="Arial"/>
                <w:b/>
                <w:bCs/>
              </w:rPr>
              <w:t xml:space="preserve"> </w:t>
            </w:r>
            <w:r w:rsidR="009033A2" w:rsidRPr="006B1BE2">
              <w:rPr>
                <w:rFonts w:ascii="Arial" w:hAnsi="Arial" w:cs="Arial"/>
                <w:b/>
                <w:bCs/>
              </w:rPr>
              <w:t>Forecast £’000</w:t>
            </w:r>
          </w:p>
        </w:tc>
        <w:tc>
          <w:tcPr>
            <w:tcW w:w="1328" w:type="dxa"/>
            <w:vAlign w:val="center"/>
          </w:tcPr>
          <w:p w14:paraId="3C9EF6CF" w14:textId="77777777" w:rsidR="009033A2" w:rsidRPr="006B1BE2" w:rsidRDefault="009033A2" w:rsidP="009033A2">
            <w:pPr>
              <w:jc w:val="center"/>
              <w:rPr>
                <w:rFonts w:ascii="Arial" w:hAnsi="Arial" w:cs="Arial"/>
                <w:b/>
                <w:bCs/>
              </w:rPr>
            </w:pPr>
            <w:r w:rsidRPr="006B1BE2">
              <w:rPr>
                <w:rFonts w:ascii="Arial" w:hAnsi="Arial" w:cs="Arial"/>
                <w:b/>
                <w:bCs/>
              </w:rPr>
              <w:t>Variance £’000</w:t>
            </w:r>
          </w:p>
        </w:tc>
      </w:tr>
      <w:tr w:rsidR="007579ED" w14:paraId="38E9ADE1" w14:textId="77777777" w:rsidTr="007E1C85">
        <w:trPr>
          <w:trHeight w:hRule="exact" w:val="284"/>
        </w:trPr>
        <w:tc>
          <w:tcPr>
            <w:tcW w:w="3798" w:type="dxa"/>
            <w:vAlign w:val="bottom"/>
          </w:tcPr>
          <w:p w14:paraId="79FE8BE4" w14:textId="77777777" w:rsidR="007579ED" w:rsidRDefault="007579ED" w:rsidP="007579ED">
            <w:pPr>
              <w:rPr>
                <w:rFonts w:ascii="Arial" w:hAnsi="Arial" w:cs="Arial"/>
                <w:color w:val="000000"/>
              </w:rPr>
            </w:pPr>
            <w:r>
              <w:rPr>
                <w:rFonts w:ascii="Arial" w:hAnsi="Arial" w:cs="Arial"/>
                <w:color w:val="000000"/>
              </w:rPr>
              <w:t>Central</w:t>
            </w:r>
          </w:p>
        </w:tc>
        <w:tc>
          <w:tcPr>
            <w:tcW w:w="1809" w:type="dxa"/>
          </w:tcPr>
          <w:p w14:paraId="35499A99" w14:textId="7615BC73" w:rsidR="007579ED" w:rsidRPr="006B1BE2" w:rsidRDefault="007579ED" w:rsidP="007579ED">
            <w:pPr>
              <w:jc w:val="right"/>
              <w:rPr>
                <w:rFonts w:ascii="Arial" w:hAnsi="Arial" w:cs="Arial"/>
              </w:rPr>
            </w:pPr>
            <w:r w:rsidRPr="006B1BE2">
              <w:rPr>
                <w:rFonts w:ascii="Arial" w:hAnsi="Arial" w:cs="Arial"/>
              </w:rPr>
              <w:t>£1,388</w:t>
            </w:r>
          </w:p>
        </w:tc>
        <w:tc>
          <w:tcPr>
            <w:tcW w:w="2081" w:type="dxa"/>
          </w:tcPr>
          <w:p w14:paraId="63BCA14B" w14:textId="096E2481" w:rsidR="007579ED" w:rsidRPr="007579ED" w:rsidRDefault="007579ED" w:rsidP="007579ED">
            <w:pPr>
              <w:jc w:val="right"/>
              <w:rPr>
                <w:rFonts w:ascii="Arial" w:hAnsi="Arial" w:cs="Arial"/>
              </w:rPr>
            </w:pPr>
            <w:r w:rsidRPr="007579ED">
              <w:rPr>
                <w:rFonts w:ascii="Arial" w:hAnsi="Arial" w:cs="Arial"/>
              </w:rPr>
              <w:t>£1,388</w:t>
            </w:r>
          </w:p>
        </w:tc>
        <w:tc>
          <w:tcPr>
            <w:tcW w:w="1328" w:type="dxa"/>
          </w:tcPr>
          <w:p w14:paraId="56849F8C" w14:textId="4B48A3C9" w:rsidR="007579ED" w:rsidRPr="007579ED" w:rsidRDefault="007579ED" w:rsidP="007579ED">
            <w:pPr>
              <w:jc w:val="right"/>
              <w:rPr>
                <w:rFonts w:ascii="Arial" w:hAnsi="Arial" w:cs="Arial"/>
              </w:rPr>
            </w:pPr>
            <w:r w:rsidRPr="007579ED">
              <w:rPr>
                <w:rFonts w:ascii="Arial" w:hAnsi="Arial" w:cs="Arial"/>
              </w:rPr>
              <w:t>£0</w:t>
            </w:r>
          </w:p>
        </w:tc>
      </w:tr>
      <w:tr w:rsidR="007579ED" w14:paraId="4C329FEB" w14:textId="77777777" w:rsidTr="007E1C85">
        <w:trPr>
          <w:trHeight w:hRule="exact" w:val="284"/>
        </w:trPr>
        <w:tc>
          <w:tcPr>
            <w:tcW w:w="3798" w:type="dxa"/>
            <w:vAlign w:val="bottom"/>
          </w:tcPr>
          <w:p w14:paraId="77C0596A" w14:textId="77777777" w:rsidR="007579ED" w:rsidRDefault="007579ED" w:rsidP="007579ED">
            <w:pPr>
              <w:rPr>
                <w:rFonts w:ascii="Arial" w:hAnsi="Arial" w:cs="Arial"/>
                <w:color w:val="000000"/>
              </w:rPr>
            </w:pPr>
            <w:r>
              <w:rPr>
                <w:rFonts w:ascii="Arial" w:hAnsi="Arial" w:cs="Arial"/>
                <w:color w:val="000000"/>
              </w:rPr>
              <w:t>Early Years</w:t>
            </w:r>
          </w:p>
        </w:tc>
        <w:tc>
          <w:tcPr>
            <w:tcW w:w="1809" w:type="dxa"/>
          </w:tcPr>
          <w:p w14:paraId="29333F0E" w14:textId="542B5A15" w:rsidR="007579ED" w:rsidRPr="006B1BE2" w:rsidRDefault="007579ED" w:rsidP="007579ED">
            <w:pPr>
              <w:jc w:val="right"/>
              <w:rPr>
                <w:rFonts w:ascii="Arial" w:hAnsi="Arial" w:cs="Arial"/>
              </w:rPr>
            </w:pPr>
            <w:r w:rsidRPr="006B1BE2">
              <w:rPr>
                <w:rFonts w:ascii="Arial" w:hAnsi="Arial" w:cs="Arial"/>
              </w:rPr>
              <w:t>£19,442</w:t>
            </w:r>
          </w:p>
        </w:tc>
        <w:tc>
          <w:tcPr>
            <w:tcW w:w="2081" w:type="dxa"/>
          </w:tcPr>
          <w:p w14:paraId="2E06C631" w14:textId="347A36C6" w:rsidR="007579ED" w:rsidRPr="007579ED" w:rsidRDefault="007579ED" w:rsidP="007579ED">
            <w:pPr>
              <w:jc w:val="right"/>
              <w:rPr>
                <w:rFonts w:ascii="Arial" w:hAnsi="Arial" w:cs="Arial"/>
              </w:rPr>
            </w:pPr>
            <w:r w:rsidRPr="007579ED">
              <w:rPr>
                <w:rFonts w:ascii="Arial" w:hAnsi="Arial" w:cs="Arial"/>
              </w:rPr>
              <w:t>£19,442</w:t>
            </w:r>
          </w:p>
        </w:tc>
        <w:tc>
          <w:tcPr>
            <w:tcW w:w="1328" w:type="dxa"/>
          </w:tcPr>
          <w:p w14:paraId="54EE11ED" w14:textId="02102407" w:rsidR="007579ED" w:rsidRPr="007579ED" w:rsidRDefault="007579ED" w:rsidP="007579ED">
            <w:pPr>
              <w:jc w:val="right"/>
              <w:rPr>
                <w:rFonts w:ascii="Arial" w:hAnsi="Arial" w:cs="Arial"/>
              </w:rPr>
            </w:pPr>
            <w:r w:rsidRPr="007579ED">
              <w:rPr>
                <w:rFonts w:ascii="Arial" w:hAnsi="Arial" w:cs="Arial"/>
              </w:rPr>
              <w:t>£0</w:t>
            </w:r>
          </w:p>
        </w:tc>
      </w:tr>
      <w:tr w:rsidR="007579ED" w14:paraId="15280300" w14:textId="77777777" w:rsidTr="007E1C85">
        <w:trPr>
          <w:trHeight w:hRule="exact" w:val="284"/>
        </w:trPr>
        <w:tc>
          <w:tcPr>
            <w:tcW w:w="3798" w:type="dxa"/>
            <w:vAlign w:val="bottom"/>
          </w:tcPr>
          <w:p w14:paraId="4D2DC6A6" w14:textId="77777777" w:rsidR="007579ED" w:rsidRDefault="007579ED" w:rsidP="007579ED">
            <w:pPr>
              <w:rPr>
                <w:rFonts w:ascii="Arial" w:hAnsi="Arial" w:cs="Arial"/>
                <w:color w:val="000000"/>
              </w:rPr>
            </w:pPr>
            <w:r>
              <w:rPr>
                <w:rFonts w:ascii="Arial" w:hAnsi="Arial" w:cs="Arial"/>
                <w:color w:val="000000"/>
              </w:rPr>
              <w:t>High Needs</w:t>
            </w:r>
          </w:p>
        </w:tc>
        <w:tc>
          <w:tcPr>
            <w:tcW w:w="1809" w:type="dxa"/>
          </w:tcPr>
          <w:p w14:paraId="702AA4B2" w14:textId="35514700" w:rsidR="007579ED" w:rsidRPr="006B1BE2" w:rsidRDefault="007579ED" w:rsidP="007579ED">
            <w:pPr>
              <w:jc w:val="right"/>
              <w:rPr>
                <w:rFonts w:ascii="Arial" w:hAnsi="Arial" w:cs="Arial"/>
              </w:rPr>
            </w:pPr>
            <w:r w:rsidRPr="006B1BE2">
              <w:rPr>
                <w:rFonts w:ascii="Arial" w:hAnsi="Arial" w:cs="Arial"/>
              </w:rPr>
              <w:t>£37,024</w:t>
            </w:r>
          </w:p>
        </w:tc>
        <w:tc>
          <w:tcPr>
            <w:tcW w:w="2081" w:type="dxa"/>
          </w:tcPr>
          <w:p w14:paraId="2EFD2B10" w14:textId="5BEF9678" w:rsidR="007579ED" w:rsidRPr="007579ED" w:rsidRDefault="007579ED" w:rsidP="007579ED">
            <w:pPr>
              <w:jc w:val="right"/>
              <w:rPr>
                <w:rFonts w:ascii="Arial" w:hAnsi="Arial" w:cs="Arial"/>
              </w:rPr>
            </w:pPr>
            <w:r w:rsidRPr="007579ED">
              <w:rPr>
                <w:rFonts w:ascii="Arial" w:hAnsi="Arial" w:cs="Arial"/>
              </w:rPr>
              <w:t>£38,189</w:t>
            </w:r>
          </w:p>
        </w:tc>
        <w:tc>
          <w:tcPr>
            <w:tcW w:w="1328" w:type="dxa"/>
          </w:tcPr>
          <w:p w14:paraId="4169DBF4" w14:textId="03ACDC4B" w:rsidR="007579ED" w:rsidRPr="007579ED" w:rsidRDefault="007579ED" w:rsidP="007579ED">
            <w:pPr>
              <w:jc w:val="right"/>
              <w:rPr>
                <w:rFonts w:ascii="Arial" w:hAnsi="Arial" w:cs="Arial"/>
              </w:rPr>
            </w:pPr>
            <w:r w:rsidRPr="007579ED">
              <w:rPr>
                <w:rFonts w:ascii="Arial" w:hAnsi="Arial" w:cs="Arial"/>
              </w:rPr>
              <w:t>£1,165</w:t>
            </w:r>
          </w:p>
        </w:tc>
      </w:tr>
      <w:tr w:rsidR="007579ED" w14:paraId="05E97100" w14:textId="77777777" w:rsidTr="007E1C85">
        <w:trPr>
          <w:trHeight w:hRule="exact" w:val="284"/>
        </w:trPr>
        <w:tc>
          <w:tcPr>
            <w:tcW w:w="3798" w:type="dxa"/>
            <w:vAlign w:val="bottom"/>
          </w:tcPr>
          <w:p w14:paraId="3B07C4EF" w14:textId="77777777" w:rsidR="007579ED" w:rsidRDefault="007579ED" w:rsidP="007579ED">
            <w:pPr>
              <w:rPr>
                <w:rFonts w:ascii="Arial" w:hAnsi="Arial" w:cs="Arial"/>
                <w:color w:val="000000"/>
              </w:rPr>
            </w:pPr>
            <w:r>
              <w:rPr>
                <w:rFonts w:ascii="Arial" w:hAnsi="Arial" w:cs="Arial"/>
                <w:color w:val="000000"/>
              </w:rPr>
              <w:t>Schools – Growth Fund</w:t>
            </w:r>
          </w:p>
        </w:tc>
        <w:tc>
          <w:tcPr>
            <w:tcW w:w="1809" w:type="dxa"/>
          </w:tcPr>
          <w:p w14:paraId="341AC590" w14:textId="557B4902" w:rsidR="007579ED" w:rsidRPr="006B1BE2" w:rsidRDefault="007579ED" w:rsidP="007579ED">
            <w:pPr>
              <w:jc w:val="right"/>
              <w:rPr>
                <w:rFonts w:ascii="Arial" w:hAnsi="Arial" w:cs="Arial"/>
              </w:rPr>
            </w:pPr>
            <w:r w:rsidRPr="006B1BE2">
              <w:rPr>
                <w:rFonts w:ascii="Arial" w:hAnsi="Arial" w:cs="Arial"/>
              </w:rPr>
              <w:t>£1,253</w:t>
            </w:r>
          </w:p>
        </w:tc>
        <w:tc>
          <w:tcPr>
            <w:tcW w:w="2081" w:type="dxa"/>
          </w:tcPr>
          <w:p w14:paraId="0219FCC2" w14:textId="25FB72BE" w:rsidR="007579ED" w:rsidRPr="007579ED" w:rsidRDefault="007579ED" w:rsidP="007579ED">
            <w:pPr>
              <w:jc w:val="right"/>
              <w:rPr>
                <w:rFonts w:ascii="Arial" w:hAnsi="Arial" w:cs="Arial"/>
              </w:rPr>
            </w:pPr>
            <w:r w:rsidRPr="007579ED">
              <w:rPr>
                <w:rFonts w:ascii="Arial" w:hAnsi="Arial" w:cs="Arial"/>
              </w:rPr>
              <w:t>£476</w:t>
            </w:r>
          </w:p>
        </w:tc>
        <w:tc>
          <w:tcPr>
            <w:tcW w:w="1328" w:type="dxa"/>
          </w:tcPr>
          <w:p w14:paraId="3A0250FB" w14:textId="1C5E19B4" w:rsidR="007579ED" w:rsidRPr="007579ED" w:rsidRDefault="007579ED" w:rsidP="007579ED">
            <w:pPr>
              <w:jc w:val="right"/>
              <w:rPr>
                <w:rFonts w:ascii="Arial" w:hAnsi="Arial" w:cs="Arial"/>
              </w:rPr>
            </w:pPr>
            <w:r w:rsidRPr="007579ED">
              <w:rPr>
                <w:rFonts w:ascii="Arial" w:hAnsi="Arial" w:cs="Arial"/>
                <w:color w:val="FF0000"/>
              </w:rPr>
              <w:t>-£777</w:t>
            </w:r>
          </w:p>
        </w:tc>
      </w:tr>
      <w:tr w:rsidR="007579ED" w14:paraId="6F3BCD58" w14:textId="77777777" w:rsidTr="007E1C85">
        <w:trPr>
          <w:trHeight w:hRule="exact" w:val="284"/>
        </w:trPr>
        <w:tc>
          <w:tcPr>
            <w:tcW w:w="3798" w:type="dxa"/>
            <w:vAlign w:val="bottom"/>
          </w:tcPr>
          <w:p w14:paraId="67A0BFE0" w14:textId="77777777" w:rsidR="007579ED" w:rsidRDefault="007579ED" w:rsidP="007579ED">
            <w:pPr>
              <w:rPr>
                <w:rFonts w:ascii="Arial" w:hAnsi="Arial" w:cs="Arial"/>
                <w:color w:val="000000"/>
              </w:rPr>
            </w:pPr>
            <w:r>
              <w:rPr>
                <w:rFonts w:ascii="Arial" w:hAnsi="Arial" w:cs="Arial"/>
                <w:color w:val="000000"/>
              </w:rPr>
              <w:t xml:space="preserve">Schools – ISB </w:t>
            </w:r>
          </w:p>
        </w:tc>
        <w:tc>
          <w:tcPr>
            <w:tcW w:w="1809" w:type="dxa"/>
          </w:tcPr>
          <w:p w14:paraId="1CEDDB07" w14:textId="2FA77736" w:rsidR="007579ED" w:rsidRPr="006B1BE2" w:rsidRDefault="007579ED" w:rsidP="007579ED">
            <w:pPr>
              <w:jc w:val="right"/>
              <w:rPr>
                <w:rFonts w:ascii="Arial" w:hAnsi="Arial" w:cs="Arial"/>
              </w:rPr>
            </w:pPr>
            <w:r w:rsidRPr="006B1BE2">
              <w:rPr>
                <w:rFonts w:ascii="Arial" w:hAnsi="Arial" w:cs="Arial"/>
              </w:rPr>
              <w:t>£80,103</w:t>
            </w:r>
          </w:p>
        </w:tc>
        <w:tc>
          <w:tcPr>
            <w:tcW w:w="2081" w:type="dxa"/>
          </w:tcPr>
          <w:p w14:paraId="6BF86F89" w14:textId="45758548" w:rsidR="007579ED" w:rsidRPr="007579ED" w:rsidRDefault="007579ED" w:rsidP="007579ED">
            <w:pPr>
              <w:jc w:val="right"/>
              <w:rPr>
                <w:rFonts w:ascii="Arial" w:hAnsi="Arial" w:cs="Arial"/>
              </w:rPr>
            </w:pPr>
            <w:r w:rsidRPr="007579ED">
              <w:rPr>
                <w:rFonts w:ascii="Arial" w:hAnsi="Arial" w:cs="Arial"/>
              </w:rPr>
              <w:t>£80,103</w:t>
            </w:r>
          </w:p>
        </w:tc>
        <w:tc>
          <w:tcPr>
            <w:tcW w:w="1328" w:type="dxa"/>
          </w:tcPr>
          <w:p w14:paraId="34DBCC5D" w14:textId="7AFBFD1E" w:rsidR="007579ED" w:rsidRPr="007579ED" w:rsidRDefault="007579ED" w:rsidP="007579ED">
            <w:pPr>
              <w:jc w:val="right"/>
              <w:rPr>
                <w:rFonts w:ascii="Arial" w:hAnsi="Arial" w:cs="Arial"/>
              </w:rPr>
            </w:pPr>
            <w:r w:rsidRPr="007579ED">
              <w:rPr>
                <w:rFonts w:ascii="Arial" w:hAnsi="Arial" w:cs="Arial"/>
              </w:rPr>
              <w:t>£0</w:t>
            </w:r>
          </w:p>
        </w:tc>
      </w:tr>
      <w:tr w:rsidR="007579ED" w:rsidRPr="00876092" w14:paraId="6C5CFCD9" w14:textId="77777777" w:rsidTr="007E1C85">
        <w:trPr>
          <w:trHeight w:hRule="exact" w:val="284"/>
        </w:trPr>
        <w:tc>
          <w:tcPr>
            <w:tcW w:w="3798" w:type="dxa"/>
            <w:vAlign w:val="bottom"/>
          </w:tcPr>
          <w:p w14:paraId="6441A6B2" w14:textId="77777777" w:rsidR="007579ED" w:rsidRPr="00DB2126" w:rsidRDefault="007579ED" w:rsidP="007579ED">
            <w:pPr>
              <w:rPr>
                <w:rFonts w:ascii="Arial" w:hAnsi="Arial" w:cs="Arial"/>
                <w:b/>
                <w:color w:val="000000"/>
              </w:rPr>
            </w:pPr>
            <w:r w:rsidRPr="00DB2126">
              <w:rPr>
                <w:rFonts w:ascii="Arial" w:hAnsi="Arial" w:cs="Arial"/>
                <w:b/>
                <w:color w:val="000000"/>
              </w:rPr>
              <w:t>Total</w:t>
            </w:r>
          </w:p>
        </w:tc>
        <w:tc>
          <w:tcPr>
            <w:tcW w:w="1809" w:type="dxa"/>
          </w:tcPr>
          <w:p w14:paraId="45A4F313" w14:textId="1B309B70" w:rsidR="007579ED" w:rsidRPr="006B1BE2" w:rsidRDefault="007579ED" w:rsidP="007579ED">
            <w:pPr>
              <w:jc w:val="right"/>
              <w:rPr>
                <w:rFonts w:ascii="Arial" w:hAnsi="Arial" w:cs="Arial"/>
                <w:b/>
                <w:bCs/>
              </w:rPr>
            </w:pPr>
            <w:r w:rsidRPr="006B1BE2">
              <w:rPr>
                <w:rFonts w:ascii="Arial" w:hAnsi="Arial" w:cs="Arial"/>
                <w:b/>
                <w:bCs/>
              </w:rPr>
              <w:t>£139,210</w:t>
            </w:r>
          </w:p>
        </w:tc>
        <w:tc>
          <w:tcPr>
            <w:tcW w:w="2081" w:type="dxa"/>
          </w:tcPr>
          <w:p w14:paraId="640DF5C5" w14:textId="65A3824B" w:rsidR="007579ED" w:rsidRPr="007579ED" w:rsidRDefault="007579ED" w:rsidP="007579ED">
            <w:pPr>
              <w:jc w:val="right"/>
              <w:rPr>
                <w:rFonts w:ascii="Arial" w:hAnsi="Arial" w:cs="Arial"/>
                <w:b/>
                <w:bCs/>
              </w:rPr>
            </w:pPr>
            <w:r w:rsidRPr="007579ED">
              <w:rPr>
                <w:rFonts w:ascii="Arial" w:hAnsi="Arial" w:cs="Arial"/>
                <w:b/>
                <w:bCs/>
              </w:rPr>
              <w:t>£139,597</w:t>
            </w:r>
          </w:p>
        </w:tc>
        <w:tc>
          <w:tcPr>
            <w:tcW w:w="1328" w:type="dxa"/>
          </w:tcPr>
          <w:p w14:paraId="069A668E" w14:textId="0CE27923" w:rsidR="007579ED" w:rsidRPr="007579ED" w:rsidRDefault="007579ED" w:rsidP="007579ED">
            <w:pPr>
              <w:jc w:val="right"/>
              <w:rPr>
                <w:rFonts w:ascii="Arial" w:hAnsi="Arial" w:cs="Arial"/>
                <w:b/>
                <w:bCs/>
              </w:rPr>
            </w:pPr>
            <w:r w:rsidRPr="007579ED">
              <w:rPr>
                <w:rFonts w:ascii="Arial" w:hAnsi="Arial" w:cs="Arial"/>
                <w:b/>
                <w:bCs/>
              </w:rPr>
              <w:t>£387</w:t>
            </w:r>
          </w:p>
        </w:tc>
      </w:tr>
    </w:tbl>
    <w:p w14:paraId="465CF190" w14:textId="77777777" w:rsidR="009033A2" w:rsidRDefault="009033A2" w:rsidP="002962A2">
      <w:pPr>
        <w:ind w:firstLine="360"/>
        <w:rPr>
          <w:rFonts w:ascii="Arial" w:hAnsi="Arial" w:cs="Arial"/>
          <w:b/>
          <w:sz w:val="24"/>
          <w:szCs w:val="24"/>
        </w:rPr>
      </w:pPr>
    </w:p>
    <w:p w14:paraId="76AC0E55" w14:textId="77777777" w:rsidR="003C3571" w:rsidRPr="000F14E8" w:rsidRDefault="003C3571" w:rsidP="002962A2">
      <w:pPr>
        <w:ind w:firstLine="360"/>
        <w:rPr>
          <w:rFonts w:ascii="Arial" w:hAnsi="Arial" w:cs="Arial"/>
          <w:b/>
          <w:sz w:val="24"/>
          <w:szCs w:val="24"/>
        </w:rPr>
      </w:pPr>
      <w:r w:rsidRPr="000F14E8">
        <w:rPr>
          <w:rFonts w:ascii="Arial" w:hAnsi="Arial" w:cs="Arial"/>
          <w:b/>
          <w:sz w:val="24"/>
          <w:szCs w:val="24"/>
        </w:rPr>
        <w:t>Early Years Block</w:t>
      </w:r>
    </w:p>
    <w:p w14:paraId="1B8642BC" w14:textId="6E9295C7" w:rsidR="00D65148" w:rsidRDefault="00D7797E" w:rsidP="00246C65">
      <w:pPr>
        <w:pStyle w:val="ListParagraph"/>
        <w:numPr>
          <w:ilvl w:val="0"/>
          <w:numId w:val="1"/>
        </w:numPr>
        <w:rPr>
          <w:rFonts w:ascii="Arial" w:hAnsi="Arial" w:cs="Arial"/>
          <w:sz w:val="24"/>
          <w:szCs w:val="24"/>
        </w:rPr>
      </w:pPr>
      <w:r w:rsidRPr="00671ADC">
        <w:rPr>
          <w:rFonts w:ascii="Arial" w:hAnsi="Arial" w:cs="Arial"/>
          <w:sz w:val="24"/>
          <w:szCs w:val="24"/>
        </w:rPr>
        <w:t xml:space="preserve">In </w:t>
      </w:r>
      <w:r w:rsidR="00671ADC" w:rsidRPr="00671ADC">
        <w:rPr>
          <w:rFonts w:ascii="Arial" w:hAnsi="Arial" w:cs="Arial"/>
          <w:sz w:val="24"/>
          <w:szCs w:val="24"/>
        </w:rPr>
        <w:t>202</w:t>
      </w:r>
      <w:r w:rsidR="00DB2126">
        <w:rPr>
          <w:rFonts w:ascii="Arial" w:hAnsi="Arial" w:cs="Arial"/>
          <w:sz w:val="24"/>
          <w:szCs w:val="24"/>
        </w:rPr>
        <w:t>1-22</w:t>
      </w:r>
      <w:r w:rsidRPr="00671ADC">
        <w:rPr>
          <w:rFonts w:ascii="Arial" w:hAnsi="Arial" w:cs="Arial"/>
          <w:sz w:val="24"/>
          <w:szCs w:val="24"/>
        </w:rPr>
        <w:t xml:space="preserve"> the</w:t>
      </w:r>
      <w:r w:rsidR="00B332DB" w:rsidRPr="00671ADC">
        <w:rPr>
          <w:rFonts w:ascii="Arial" w:hAnsi="Arial" w:cs="Arial"/>
          <w:sz w:val="24"/>
          <w:szCs w:val="24"/>
        </w:rPr>
        <w:t xml:space="preserve"> </w:t>
      </w:r>
      <w:r w:rsidRPr="00671ADC">
        <w:rPr>
          <w:rFonts w:ascii="Arial" w:hAnsi="Arial" w:cs="Arial"/>
          <w:sz w:val="24"/>
          <w:szCs w:val="24"/>
        </w:rPr>
        <w:t>Early Years Block is £</w:t>
      </w:r>
      <w:r w:rsidR="00671ADC" w:rsidRPr="00671ADC">
        <w:rPr>
          <w:rFonts w:ascii="Arial" w:hAnsi="Arial" w:cs="Arial"/>
          <w:sz w:val="24"/>
          <w:szCs w:val="24"/>
        </w:rPr>
        <w:t>19.</w:t>
      </w:r>
      <w:r w:rsidR="00DB2126">
        <w:rPr>
          <w:rFonts w:ascii="Arial" w:hAnsi="Arial" w:cs="Arial"/>
          <w:sz w:val="24"/>
          <w:szCs w:val="24"/>
        </w:rPr>
        <w:t>442</w:t>
      </w:r>
      <w:r w:rsidR="00671ADC" w:rsidRPr="00671ADC">
        <w:rPr>
          <w:rFonts w:ascii="Arial" w:hAnsi="Arial" w:cs="Arial"/>
          <w:sz w:val="24"/>
          <w:szCs w:val="24"/>
        </w:rPr>
        <w:t>m</w:t>
      </w:r>
      <w:r w:rsidR="00CD190F" w:rsidRPr="00671ADC">
        <w:rPr>
          <w:rFonts w:ascii="Arial" w:hAnsi="Arial" w:cs="Arial"/>
          <w:sz w:val="24"/>
          <w:szCs w:val="24"/>
        </w:rPr>
        <w:t xml:space="preserve">. </w:t>
      </w:r>
      <w:r w:rsidR="00246C65">
        <w:rPr>
          <w:rFonts w:ascii="Arial" w:hAnsi="Arial" w:cs="Arial"/>
          <w:sz w:val="24"/>
          <w:szCs w:val="24"/>
        </w:rPr>
        <w:t>This has not been updated and is still based on the January 2020 census.</w:t>
      </w:r>
    </w:p>
    <w:p w14:paraId="0BC97E6A" w14:textId="77777777" w:rsidR="0086393D" w:rsidRDefault="0086393D" w:rsidP="0086393D">
      <w:pPr>
        <w:pStyle w:val="ListParagraph"/>
        <w:rPr>
          <w:rFonts w:ascii="Arial" w:hAnsi="Arial" w:cs="Arial"/>
          <w:sz w:val="24"/>
          <w:szCs w:val="24"/>
        </w:rPr>
      </w:pPr>
    </w:p>
    <w:p w14:paraId="2EDBDCAE" w14:textId="59643E7C" w:rsidR="00246C65" w:rsidRDefault="00246C65" w:rsidP="00246C65">
      <w:pPr>
        <w:pStyle w:val="ListParagraph"/>
        <w:numPr>
          <w:ilvl w:val="0"/>
          <w:numId w:val="1"/>
        </w:numPr>
        <w:rPr>
          <w:rFonts w:ascii="Arial" w:hAnsi="Arial" w:cs="Arial"/>
          <w:sz w:val="24"/>
          <w:szCs w:val="24"/>
        </w:rPr>
      </w:pPr>
      <w:r>
        <w:rPr>
          <w:rFonts w:ascii="Arial" w:hAnsi="Arial" w:cs="Arial"/>
          <w:sz w:val="24"/>
          <w:szCs w:val="24"/>
        </w:rPr>
        <w:t>Ordinarily the funding would be updated to reflect the January 2021 census. However, due to Covid-19 a number of settings were unable to open and/or there were fewer children attending. This meant that the January 2021 census numbers would not necessarily reflect an ‘ordinary’ term.</w:t>
      </w:r>
    </w:p>
    <w:p w14:paraId="13DE54D6" w14:textId="77777777" w:rsidR="0086393D" w:rsidRPr="0086393D" w:rsidRDefault="0086393D" w:rsidP="0086393D">
      <w:pPr>
        <w:pStyle w:val="ListParagraph"/>
        <w:rPr>
          <w:rFonts w:ascii="Arial" w:hAnsi="Arial" w:cs="Arial"/>
          <w:sz w:val="24"/>
          <w:szCs w:val="24"/>
        </w:rPr>
      </w:pPr>
    </w:p>
    <w:p w14:paraId="75BDF7F4" w14:textId="7EE28D58" w:rsidR="0086393D" w:rsidRDefault="0086393D" w:rsidP="00246C65">
      <w:pPr>
        <w:pStyle w:val="ListParagraph"/>
        <w:numPr>
          <w:ilvl w:val="0"/>
          <w:numId w:val="1"/>
        </w:numPr>
        <w:rPr>
          <w:rFonts w:ascii="Arial" w:hAnsi="Arial" w:cs="Arial"/>
          <w:sz w:val="24"/>
          <w:szCs w:val="24"/>
        </w:rPr>
      </w:pPr>
      <w:r>
        <w:rPr>
          <w:rFonts w:ascii="Arial" w:hAnsi="Arial" w:cs="Arial"/>
          <w:sz w:val="24"/>
          <w:szCs w:val="24"/>
        </w:rPr>
        <w:t>The actual census numbers are shown in the table below. Whilst the 2yo participation stayed relatively consistent, participation for 3&amp;4yo was significantly reduced</w:t>
      </w:r>
    </w:p>
    <w:p w14:paraId="6874B3FA" w14:textId="77777777" w:rsidR="0086393D" w:rsidRPr="0086393D" w:rsidRDefault="0086393D" w:rsidP="0086393D">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765"/>
        <w:gridCol w:w="2765"/>
        <w:gridCol w:w="2766"/>
      </w:tblGrid>
      <w:tr w:rsidR="0086393D" w:rsidRPr="0086393D" w14:paraId="2A1997FD" w14:textId="77777777" w:rsidTr="0086393D">
        <w:trPr>
          <w:trHeight w:hRule="exact" w:val="284"/>
        </w:trPr>
        <w:tc>
          <w:tcPr>
            <w:tcW w:w="2765" w:type="dxa"/>
          </w:tcPr>
          <w:p w14:paraId="27117A3F" w14:textId="7A20C959" w:rsidR="0086393D" w:rsidRPr="0086393D" w:rsidRDefault="0086393D" w:rsidP="0086393D">
            <w:pPr>
              <w:pStyle w:val="ListParagraph"/>
              <w:ind w:left="0"/>
              <w:rPr>
                <w:rFonts w:ascii="Arial" w:hAnsi="Arial" w:cs="Arial"/>
                <w:b/>
                <w:bCs/>
                <w:sz w:val="20"/>
                <w:szCs w:val="20"/>
              </w:rPr>
            </w:pPr>
            <w:r w:rsidRPr="0086393D">
              <w:rPr>
                <w:rFonts w:ascii="Arial" w:hAnsi="Arial" w:cs="Arial"/>
                <w:b/>
                <w:bCs/>
                <w:sz w:val="20"/>
                <w:szCs w:val="20"/>
              </w:rPr>
              <w:t>Census</w:t>
            </w:r>
          </w:p>
        </w:tc>
        <w:tc>
          <w:tcPr>
            <w:tcW w:w="2765" w:type="dxa"/>
          </w:tcPr>
          <w:p w14:paraId="648B9681" w14:textId="245B6EBC" w:rsidR="0086393D" w:rsidRPr="0086393D" w:rsidRDefault="0086393D" w:rsidP="0086393D">
            <w:pPr>
              <w:pStyle w:val="ListParagraph"/>
              <w:ind w:left="0"/>
              <w:jc w:val="center"/>
              <w:rPr>
                <w:rFonts w:ascii="Arial" w:hAnsi="Arial" w:cs="Arial"/>
                <w:b/>
                <w:bCs/>
                <w:sz w:val="20"/>
                <w:szCs w:val="20"/>
              </w:rPr>
            </w:pPr>
            <w:r w:rsidRPr="0086393D">
              <w:rPr>
                <w:rFonts w:ascii="Arial" w:hAnsi="Arial" w:cs="Arial"/>
                <w:b/>
                <w:bCs/>
                <w:sz w:val="20"/>
                <w:szCs w:val="20"/>
              </w:rPr>
              <w:t xml:space="preserve">2 </w:t>
            </w:r>
            <w:proofErr w:type="spellStart"/>
            <w:r w:rsidRPr="0086393D">
              <w:rPr>
                <w:rFonts w:ascii="Arial" w:hAnsi="Arial" w:cs="Arial"/>
                <w:b/>
                <w:bCs/>
                <w:sz w:val="20"/>
                <w:szCs w:val="20"/>
              </w:rPr>
              <w:t>yo</w:t>
            </w:r>
            <w:proofErr w:type="spellEnd"/>
          </w:p>
        </w:tc>
        <w:tc>
          <w:tcPr>
            <w:tcW w:w="2766" w:type="dxa"/>
          </w:tcPr>
          <w:p w14:paraId="5A19C7FA" w14:textId="6F0378CE" w:rsidR="0086393D" w:rsidRPr="0086393D" w:rsidRDefault="0086393D" w:rsidP="0086393D">
            <w:pPr>
              <w:pStyle w:val="ListParagraph"/>
              <w:ind w:left="0"/>
              <w:jc w:val="center"/>
              <w:rPr>
                <w:rFonts w:ascii="Arial" w:hAnsi="Arial" w:cs="Arial"/>
                <w:b/>
                <w:bCs/>
                <w:sz w:val="20"/>
                <w:szCs w:val="20"/>
              </w:rPr>
            </w:pPr>
            <w:r w:rsidRPr="0086393D">
              <w:rPr>
                <w:rFonts w:ascii="Arial" w:hAnsi="Arial" w:cs="Arial"/>
                <w:b/>
                <w:bCs/>
                <w:sz w:val="20"/>
                <w:szCs w:val="20"/>
              </w:rPr>
              <w:t xml:space="preserve">3/4 </w:t>
            </w:r>
            <w:proofErr w:type="spellStart"/>
            <w:r w:rsidRPr="0086393D">
              <w:rPr>
                <w:rFonts w:ascii="Arial" w:hAnsi="Arial" w:cs="Arial"/>
                <w:b/>
                <w:bCs/>
                <w:sz w:val="20"/>
                <w:szCs w:val="20"/>
              </w:rPr>
              <w:t>yo</w:t>
            </w:r>
            <w:proofErr w:type="spellEnd"/>
          </w:p>
        </w:tc>
      </w:tr>
      <w:tr w:rsidR="0086393D" w:rsidRPr="0086393D" w14:paraId="29B42997" w14:textId="77777777" w:rsidTr="0086393D">
        <w:trPr>
          <w:trHeight w:hRule="exact" w:val="284"/>
        </w:trPr>
        <w:tc>
          <w:tcPr>
            <w:tcW w:w="2765" w:type="dxa"/>
          </w:tcPr>
          <w:p w14:paraId="32E89A68" w14:textId="2D050616" w:rsidR="0086393D" w:rsidRPr="0086393D" w:rsidRDefault="0086393D" w:rsidP="0086393D">
            <w:pPr>
              <w:pStyle w:val="ListParagraph"/>
              <w:ind w:left="0"/>
              <w:rPr>
                <w:rFonts w:ascii="Arial" w:hAnsi="Arial" w:cs="Arial"/>
                <w:sz w:val="20"/>
                <w:szCs w:val="20"/>
              </w:rPr>
            </w:pPr>
            <w:r w:rsidRPr="0086393D">
              <w:rPr>
                <w:rFonts w:ascii="Arial" w:hAnsi="Arial" w:cs="Arial"/>
                <w:sz w:val="20"/>
                <w:szCs w:val="20"/>
              </w:rPr>
              <w:t>Jan-20</w:t>
            </w:r>
          </w:p>
        </w:tc>
        <w:tc>
          <w:tcPr>
            <w:tcW w:w="2765" w:type="dxa"/>
          </w:tcPr>
          <w:p w14:paraId="207844ED" w14:textId="34C7558E" w:rsidR="0086393D" w:rsidRPr="0086393D" w:rsidRDefault="0086393D" w:rsidP="0086393D">
            <w:pPr>
              <w:pStyle w:val="ListParagraph"/>
              <w:ind w:left="0"/>
              <w:jc w:val="center"/>
              <w:rPr>
                <w:rFonts w:ascii="Arial" w:hAnsi="Arial" w:cs="Arial"/>
                <w:sz w:val="20"/>
                <w:szCs w:val="20"/>
              </w:rPr>
            </w:pPr>
            <w:r w:rsidRPr="0086393D">
              <w:rPr>
                <w:rFonts w:ascii="Arial" w:hAnsi="Arial" w:cs="Arial"/>
                <w:sz w:val="20"/>
                <w:szCs w:val="20"/>
              </w:rPr>
              <w:t>492</w:t>
            </w:r>
          </w:p>
        </w:tc>
        <w:tc>
          <w:tcPr>
            <w:tcW w:w="2766" w:type="dxa"/>
          </w:tcPr>
          <w:p w14:paraId="40F8F3F7" w14:textId="5E2A0113" w:rsidR="0086393D" w:rsidRPr="0086393D" w:rsidRDefault="0086393D" w:rsidP="0086393D">
            <w:pPr>
              <w:pStyle w:val="ListParagraph"/>
              <w:ind w:left="0"/>
              <w:jc w:val="center"/>
              <w:rPr>
                <w:rFonts w:ascii="Arial" w:hAnsi="Arial" w:cs="Arial"/>
                <w:sz w:val="20"/>
                <w:szCs w:val="20"/>
              </w:rPr>
            </w:pPr>
            <w:r w:rsidRPr="0086393D">
              <w:rPr>
                <w:rFonts w:ascii="Arial" w:hAnsi="Arial" w:cs="Arial"/>
                <w:sz w:val="20"/>
                <w:szCs w:val="20"/>
              </w:rPr>
              <w:t>4268</w:t>
            </w:r>
          </w:p>
        </w:tc>
      </w:tr>
      <w:tr w:rsidR="0086393D" w:rsidRPr="0086393D" w14:paraId="6E75459D" w14:textId="77777777" w:rsidTr="0086393D">
        <w:trPr>
          <w:trHeight w:hRule="exact" w:val="284"/>
        </w:trPr>
        <w:tc>
          <w:tcPr>
            <w:tcW w:w="2765" w:type="dxa"/>
          </w:tcPr>
          <w:p w14:paraId="7FAC5E0B" w14:textId="0C78239A" w:rsidR="0086393D" w:rsidRPr="0086393D" w:rsidRDefault="0086393D" w:rsidP="0086393D">
            <w:pPr>
              <w:pStyle w:val="ListParagraph"/>
              <w:ind w:left="0"/>
              <w:rPr>
                <w:rFonts w:ascii="Arial" w:hAnsi="Arial" w:cs="Arial"/>
                <w:sz w:val="20"/>
                <w:szCs w:val="20"/>
              </w:rPr>
            </w:pPr>
            <w:r w:rsidRPr="0086393D">
              <w:rPr>
                <w:rFonts w:ascii="Arial" w:hAnsi="Arial" w:cs="Arial"/>
                <w:sz w:val="20"/>
                <w:szCs w:val="20"/>
              </w:rPr>
              <w:t>Jan-21</w:t>
            </w:r>
          </w:p>
        </w:tc>
        <w:tc>
          <w:tcPr>
            <w:tcW w:w="2765" w:type="dxa"/>
          </w:tcPr>
          <w:p w14:paraId="12A0C42F" w14:textId="77FA7B6C" w:rsidR="0086393D" w:rsidRPr="0086393D" w:rsidRDefault="0086393D" w:rsidP="0086393D">
            <w:pPr>
              <w:pStyle w:val="ListParagraph"/>
              <w:ind w:left="0"/>
              <w:jc w:val="center"/>
              <w:rPr>
                <w:rFonts w:ascii="Arial" w:hAnsi="Arial" w:cs="Arial"/>
                <w:sz w:val="20"/>
                <w:szCs w:val="20"/>
              </w:rPr>
            </w:pPr>
            <w:r w:rsidRPr="0086393D">
              <w:rPr>
                <w:rFonts w:ascii="Arial" w:hAnsi="Arial" w:cs="Arial"/>
                <w:sz w:val="20"/>
                <w:szCs w:val="20"/>
              </w:rPr>
              <w:t>470</w:t>
            </w:r>
          </w:p>
        </w:tc>
        <w:tc>
          <w:tcPr>
            <w:tcW w:w="2766" w:type="dxa"/>
          </w:tcPr>
          <w:p w14:paraId="3C93000A" w14:textId="5F5DCC14" w:rsidR="0086393D" w:rsidRPr="0086393D" w:rsidRDefault="0086393D" w:rsidP="0086393D">
            <w:pPr>
              <w:pStyle w:val="ListParagraph"/>
              <w:ind w:left="0"/>
              <w:jc w:val="center"/>
              <w:rPr>
                <w:rFonts w:ascii="Arial" w:hAnsi="Arial" w:cs="Arial"/>
                <w:sz w:val="20"/>
                <w:szCs w:val="20"/>
              </w:rPr>
            </w:pPr>
            <w:r w:rsidRPr="0086393D">
              <w:rPr>
                <w:rFonts w:ascii="Arial" w:hAnsi="Arial" w:cs="Arial"/>
                <w:sz w:val="20"/>
                <w:szCs w:val="20"/>
              </w:rPr>
              <w:t>2931</w:t>
            </w:r>
          </w:p>
        </w:tc>
      </w:tr>
      <w:tr w:rsidR="0086393D" w:rsidRPr="0086393D" w14:paraId="5A898297" w14:textId="77777777" w:rsidTr="0086393D">
        <w:trPr>
          <w:trHeight w:hRule="exact" w:val="284"/>
        </w:trPr>
        <w:tc>
          <w:tcPr>
            <w:tcW w:w="2765" w:type="dxa"/>
          </w:tcPr>
          <w:p w14:paraId="23FC8AE7" w14:textId="2C6B0032" w:rsidR="0086393D" w:rsidRPr="0086393D" w:rsidRDefault="0086393D" w:rsidP="0086393D">
            <w:pPr>
              <w:pStyle w:val="ListParagraph"/>
              <w:ind w:left="0"/>
              <w:rPr>
                <w:rFonts w:ascii="Arial" w:hAnsi="Arial" w:cs="Arial"/>
                <w:sz w:val="20"/>
                <w:szCs w:val="20"/>
              </w:rPr>
            </w:pPr>
            <w:r w:rsidRPr="0086393D">
              <w:rPr>
                <w:rFonts w:ascii="Arial" w:hAnsi="Arial" w:cs="Arial"/>
                <w:sz w:val="20"/>
                <w:szCs w:val="20"/>
              </w:rPr>
              <w:t>May-21</w:t>
            </w:r>
          </w:p>
        </w:tc>
        <w:tc>
          <w:tcPr>
            <w:tcW w:w="2765" w:type="dxa"/>
          </w:tcPr>
          <w:p w14:paraId="2A6984EE" w14:textId="1FF34B58" w:rsidR="0086393D" w:rsidRPr="0086393D" w:rsidRDefault="0086393D" w:rsidP="0086393D">
            <w:pPr>
              <w:pStyle w:val="ListParagraph"/>
              <w:ind w:left="0"/>
              <w:jc w:val="center"/>
              <w:rPr>
                <w:rFonts w:ascii="Arial" w:hAnsi="Arial" w:cs="Arial"/>
                <w:sz w:val="20"/>
                <w:szCs w:val="20"/>
              </w:rPr>
            </w:pPr>
            <w:r w:rsidRPr="0086393D">
              <w:rPr>
                <w:rFonts w:ascii="Arial" w:hAnsi="Arial" w:cs="Arial"/>
                <w:sz w:val="20"/>
                <w:szCs w:val="20"/>
              </w:rPr>
              <w:t>482</w:t>
            </w:r>
          </w:p>
        </w:tc>
        <w:tc>
          <w:tcPr>
            <w:tcW w:w="2766" w:type="dxa"/>
          </w:tcPr>
          <w:p w14:paraId="2D1D5D1A" w14:textId="539E25E4" w:rsidR="0086393D" w:rsidRPr="0086393D" w:rsidRDefault="0086393D" w:rsidP="0086393D">
            <w:pPr>
              <w:pStyle w:val="ListParagraph"/>
              <w:ind w:left="0"/>
              <w:jc w:val="center"/>
              <w:rPr>
                <w:rFonts w:ascii="Arial" w:hAnsi="Arial" w:cs="Arial"/>
                <w:sz w:val="20"/>
                <w:szCs w:val="20"/>
              </w:rPr>
            </w:pPr>
            <w:r w:rsidRPr="0086393D">
              <w:rPr>
                <w:rFonts w:ascii="Arial" w:hAnsi="Arial" w:cs="Arial"/>
                <w:sz w:val="20"/>
                <w:szCs w:val="20"/>
              </w:rPr>
              <w:t>3501</w:t>
            </w:r>
          </w:p>
        </w:tc>
      </w:tr>
    </w:tbl>
    <w:p w14:paraId="54555397" w14:textId="77777777" w:rsidR="0086393D" w:rsidRDefault="0086393D" w:rsidP="0086393D">
      <w:pPr>
        <w:pStyle w:val="ListParagraph"/>
        <w:rPr>
          <w:rFonts w:ascii="Arial" w:hAnsi="Arial" w:cs="Arial"/>
          <w:sz w:val="24"/>
          <w:szCs w:val="24"/>
        </w:rPr>
      </w:pPr>
    </w:p>
    <w:p w14:paraId="381D8205" w14:textId="5F11D9DF" w:rsidR="0086393D" w:rsidRDefault="0086393D" w:rsidP="0086393D">
      <w:pPr>
        <w:pStyle w:val="ListParagraph"/>
        <w:rPr>
          <w:rFonts w:ascii="Arial" w:hAnsi="Arial" w:cs="Arial"/>
          <w:sz w:val="24"/>
          <w:szCs w:val="24"/>
        </w:rPr>
      </w:pPr>
    </w:p>
    <w:p w14:paraId="4AE03AF8" w14:textId="38F086B5" w:rsidR="0086393D" w:rsidRPr="0086393D" w:rsidRDefault="0086393D" w:rsidP="0086393D">
      <w:pPr>
        <w:pStyle w:val="ListParagraph"/>
        <w:rPr>
          <w:rFonts w:ascii="Arial" w:hAnsi="Arial" w:cs="Arial"/>
          <w:b/>
          <w:bCs/>
          <w:sz w:val="24"/>
          <w:szCs w:val="24"/>
        </w:rPr>
      </w:pPr>
      <w:r w:rsidRPr="0086393D">
        <w:rPr>
          <w:rFonts w:ascii="Arial" w:hAnsi="Arial" w:cs="Arial"/>
          <w:b/>
          <w:bCs/>
          <w:sz w:val="24"/>
          <w:szCs w:val="24"/>
        </w:rPr>
        <w:t>2020-21 Spring Term Funding</w:t>
      </w:r>
    </w:p>
    <w:p w14:paraId="7E6CAB09" w14:textId="77777777" w:rsidR="0086393D" w:rsidRDefault="0086393D" w:rsidP="0086393D">
      <w:pPr>
        <w:pStyle w:val="ListParagraph"/>
        <w:rPr>
          <w:rFonts w:ascii="Arial" w:hAnsi="Arial" w:cs="Arial"/>
          <w:sz w:val="24"/>
          <w:szCs w:val="24"/>
        </w:rPr>
      </w:pPr>
    </w:p>
    <w:p w14:paraId="3E5DFCC4" w14:textId="377C8CBF" w:rsidR="0086393D" w:rsidRDefault="0086393D" w:rsidP="00246C65">
      <w:pPr>
        <w:pStyle w:val="ListParagraph"/>
        <w:numPr>
          <w:ilvl w:val="0"/>
          <w:numId w:val="1"/>
        </w:numPr>
        <w:rPr>
          <w:rFonts w:ascii="Arial" w:hAnsi="Arial" w:cs="Arial"/>
          <w:sz w:val="24"/>
          <w:szCs w:val="24"/>
        </w:rPr>
      </w:pPr>
      <w:r>
        <w:rPr>
          <w:rFonts w:ascii="Arial" w:hAnsi="Arial" w:cs="Arial"/>
          <w:sz w:val="24"/>
          <w:szCs w:val="24"/>
        </w:rPr>
        <w:t>Each year funding for the previous year’s Spring Term is adjusted to reflect the latest census. So ordinarily we would receive a clawback or additional allocation in the following year to reflect this.</w:t>
      </w:r>
    </w:p>
    <w:p w14:paraId="60566A09" w14:textId="77777777" w:rsidR="0086393D" w:rsidRDefault="0086393D" w:rsidP="0086393D">
      <w:pPr>
        <w:pStyle w:val="ListParagraph"/>
        <w:rPr>
          <w:rFonts w:ascii="Arial" w:hAnsi="Arial" w:cs="Arial"/>
          <w:sz w:val="24"/>
          <w:szCs w:val="24"/>
        </w:rPr>
      </w:pPr>
    </w:p>
    <w:p w14:paraId="403046D7" w14:textId="6E2EB9D4" w:rsidR="0086393D" w:rsidRDefault="0086393D" w:rsidP="00246C65">
      <w:pPr>
        <w:pStyle w:val="ListParagraph"/>
        <w:numPr>
          <w:ilvl w:val="0"/>
          <w:numId w:val="1"/>
        </w:numPr>
        <w:rPr>
          <w:rFonts w:ascii="Arial" w:hAnsi="Arial" w:cs="Arial"/>
          <w:sz w:val="24"/>
          <w:szCs w:val="24"/>
        </w:rPr>
      </w:pPr>
      <w:r>
        <w:rPr>
          <w:rFonts w:ascii="Arial" w:hAnsi="Arial" w:cs="Arial"/>
          <w:sz w:val="24"/>
          <w:szCs w:val="24"/>
        </w:rPr>
        <w:t>In 2021-22 we would therefore expect to receive this adjustment after the funding is recalculated using the January 2021 census.</w:t>
      </w:r>
    </w:p>
    <w:p w14:paraId="1C4D6D32" w14:textId="77777777" w:rsidR="0086393D" w:rsidRDefault="0086393D" w:rsidP="0086393D">
      <w:pPr>
        <w:pStyle w:val="ListParagraph"/>
        <w:rPr>
          <w:rFonts w:ascii="Arial" w:hAnsi="Arial" w:cs="Arial"/>
          <w:sz w:val="24"/>
          <w:szCs w:val="24"/>
        </w:rPr>
      </w:pPr>
    </w:p>
    <w:p w14:paraId="0888D574" w14:textId="73245270" w:rsidR="00246C65" w:rsidRDefault="00246C65" w:rsidP="00246C65">
      <w:pPr>
        <w:pStyle w:val="ListParagraph"/>
        <w:numPr>
          <w:ilvl w:val="0"/>
          <w:numId w:val="1"/>
        </w:numPr>
        <w:rPr>
          <w:rFonts w:ascii="Arial" w:hAnsi="Arial" w:cs="Arial"/>
          <w:sz w:val="24"/>
          <w:szCs w:val="24"/>
        </w:rPr>
      </w:pPr>
      <w:r>
        <w:rPr>
          <w:rFonts w:ascii="Arial" w:hAnsi="Arial" w:cs="Arial"/>
          <w:sz w:val="24"/>
          <w:szCs w:val="24"/>
        </w:rPr>
        <w:t>In July 2021 the DfE carried out an exercise that allowed LAs to submit data from the May 2021 Early Years census. Using this data LAs will be funded</w:t>
      </w:r>
      <w:r w:rsidR="0086393D">
        <w:rPr>
          <w:rFonts w:ascii="Arial" w:hAnsi="Arial" w:cs="Arial"/>
          <w:sz w:val="24"/>
          <w:szCs w:val="24"/>
        </w:rPr>
        <w:t xml:space="preserve"> for the Spring Term 2021</w:t>
      </w:r>
      <w:r>
        <w:rPr>
          <w:rFonts w:ascii="Arial" w:hAnsi="Arial" w:cs="Arial"/>
          <w:sz w:val="24"/>
          <w:szCs w:val="24"/>
        </w:rPr>
        <w:t xml:space="preserve"> on the</w:t>
      </w:r>
      <w:r w:rsidR="00E53BCB">
        <w:rPr>
          <w:rFonts w:ascii="Arial" w:hAnsi="Arial" w:cs="Arial"/>
          <w:sz w:val="24"/>
          <w:szCs w:val="24"/>
        </w:rPr>
        <w:t xml:space="preserve"> average of</w:t>
      </w:r>
      <w:r>
        <w:rPr>
          <w:rFonts w:ascii="Arial" w:hAnsi="Arial" w:cs="Arial"/>
          <w:sz w:val="24"/>
          <w:szCs w:val="24"/>
        </w:rPr>
        <w:t xml:space="preserve"> January</w:t>
      </w:r>
      <w:r w:rsidR="00E53BCB">
        <w:rPr>
          <w:rFonts w:ascii="Arial" w:hAnsi="Arial" w:cs="Arial"/>
          <w:sz w:val="24"/>
          <w:szCs w:val="24"/>
        </w:rPr>
        <w:t xml:space="preserve"> and May</w:t>
      </w:r>
      <w:r>
        <w:rPr>
          <w:rFonts w:ascii="Arial" w:hAnsi="Arial" w:cs="Arial"/>
          <w:sz w:val="24"/>
          <w:szCs w:val="24"/>
        </w:rPr>
        <w:t xml:space="preserve"> 2021 census</w:t>
      </w:r>
      <w:r w:rsidR="00E53BCB">
        <w:rPr>
          <w:rFonts w:ascii="Arial" w:hAnsi="Arial" w:cs="Arial"/>
          <w:sz w:val="24"/>
          <w:szCs w:val="24"/>
        </w:rPr>
        <w:t>es</w:t>
      </w:r>
      <w:r>
        <w:rPr>
          <w:rFonts w:ascii="Arial" w:hAnsi="Arial" w:cs="Arial"/>
          <w:sz w:val="24"/>
          <w:szCs w:val="24"/>
        </w:rPr>
        <w:t xml:space="preserve"> or up to 85% </w:t>
      </w:r>
      <w:r w:rsidR="0084646D">
        <w:rPr>
          <w:rFonts w:ascii="Arial" w:hAnsi="Arial" w:cs="Arial"/>
          <w:sz w:val="24"/>
          <w:szCs w:val="24"/>
        </w:rPr>
        <w:t>January 2020</w:t>
      </w:r>
      <w:r>
        <w:rPr>
          <w:rFonts w:ascii="Arial" w:hAnsi="Arial" w:cs="Arial"/>
          <w:sz w:val="24"/>
          <w:szCs w:val="24"/>
        </w:rPr>
        <w:t xml:space="preserve"> census, whichever is higher. </w:t>
      </w:r>
    </w:p>
    <w:p w14:paraId="23EE6231" w14:textId="77777777" w:rsidR="0086393D" w:rsidRDefault="0086393D" w:rsidP="0086393D">
      <w:pPr>
        <w:pStyle w:val="ListParagraph"/>
        <w:rPr>
          <w:rFonts w:ascii="Arial" w:hAnsi="Arial" w:cs="Arial"/>
          <w:sz w:val="24"/>
          <w:szCs w:val="24"/>
        </w:rPr>
      </w:pPr>
    </w:p>
    <w:p w14:paraId="79C0A6B0" w14:textId="159187B2" w:rsidR="00765BF3" w:rsidRDefault="00246C65" w:rsidP="0086393D">
      <w:pPr>
        <w:pStyle w:val="ListParagraph"/>
        <w:numPr>
          <w:ilvl w:val="0"/>
          <w:numId w:val="1"/>
        </w:numPr>
        <w:rPr>
          <w:rFonts w:ascii="Arial" w:hAnsi="Arial" w:cs="Arial"/>
          <w:sz w:val="24"/>
          <w:szCs w:val="24"/>
        </w:rPr>
      </w:pPr>
      <w:r>
        <w:rPr>
          <w:rFonts w:ascii="Arial" w:hAnsi="Arial" w:cs="Arial"/>
          <w:sz w:val="24"/>
          <w:szCs w:val="24"/>
        </w:rPr>
        <w:t xml:space="preserve">This applies to </w:t>
      </w:r>
      <w:proofErr w:type="gramStart"/>
      <w:r>
        <w:rPr>
          <w:rFonts w:ascii="Arial" w:hAnsi="Arial" w:cs="Arial"/>
          <w:sz w:val="24"/>
          <w:szCs w:val="24"/>
        </w:rPr>
        <w:t>2 year olds</w:t>
      </w:r>
      <w:proofErr w:type="gramEnd"/>
      <w:r>
        <w:rPr>
          <w:rFonts w:ascii="Arial" w:hAnsi="Arial" w:cs="Arial"/>
          <w:sz w:val="24"/>
          <w:szCs w:val="24"/>
        </w:rPr>
        <w:t xml:space="preserve"> and both 3 and 4 year old universal and additional 15 hours funding.</w:t>
      </w:r>
    </w:p>
    <w:p w14:paraId="69E451DE" w14:textId="77777777" w:rsidR="0086393D" w:rsidRPr="0086393D" w:rsidRDefault="0086393D" w:rsidP="0086393D">
      <w:pPr>
        <w:pStyle w:val="ListParagraph"/>
        <w:rPr>
          <w:rFonts w:ascii="Arial" w:hAnsi="Arial" w:cs="Arial"/>
          <w:sz w:val="24"/>
          <w:szCs w:val="24"/>
        </w:rPr>
      </w:pPr>
    </w:p>
    <w:p w14:paraId="2AA21514" w14:textId="2A85280A" w:rsidR="004738B0" w:rsidRDefault="0086393D" w:rsidP="004738B0">
      <w:pPr>
        <w:pStyle w:val="ListParagraph"/>
        <w:numPr>
          <w:ilvl w:val="0"/>
          <w:numId w:val="1"/>
        </w:numPr>
        <w:rPr>
          <w:rFonts w:ascii="Arial" w:hAnsi="Arial" w:cs="Arial"/>
          <w:sz w:val="24"/>
          <w:szCs w:val="24"/>
        </w:rPr>
      </w:pPr>
      <w:r>
        <w:rPr>
          <w:rFonts w:ascii="Arial" w:hAnsi="Arial" w:cs="Arial"/>
          <w:sz w:val="24"/>
          <w:szCs w:val="24"/>
        </w:rPr>
        <w:t>Base</w:t>
      </w:r>
      <w:r w:rsidR="004738B0">
        <w:rPr>
          <w:rFonts w:ascii="Arial" w:hAnsi="Arial" w:cs="Arial"/>
          <w:sz w:val="24"/>
          <w:szCs w:val="24"/>
        </w:rPr>
        <w:t>d</w:t>
      </w:r>
      <w:r>
        <w:rPr>
          <w:rFonts w:ascii="Arial" w:hAnsi="Arial" w:cs="Arial"/>
          <w:sz w:val="24"/>
          <w:szCs w:val="24"/>
        </w:rPr>
        <w:t xml:space="preserve"> on the above methodology the following adjustments are expected</w:t>
      </w:r>
      <w:r w:rsidR="00AD5C66">
        <w:rPr>
          <w:rFonts w:ascii="Arial" w:hAnsi="Arial" w:cs="Arial"/>
          <w:sz w:val="24"/>
          <w:szCs w:val="24"/>
        </w:rPr>
        <w:t xml:space="preserve"> (this is based on 3 months funding Jan-Mar 2021)</w:t>
      </w:r>
    </w:p>
    <w:p w14:paraId="3EE5E1C7" w14:textId="17FBFC7C" w:rsidR="004738B0" w:rsidRDefault="004738B0" w:rsidP="004738B0">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074"/>
        <w:gridCol w:w="2074"/>
        <w:gridCol w:w="2074"/>
        <w:gridCol w:w="2074"/>
      </w:tblGrid>
      <w:tr w:rsidR="00AC6CF6" w:rsidRPr="00AC6CF6" w14:paraId="75DF9F6D" w14:textId="77777777" w:rsidTr="00AC6CF6">
        <w:trPr>
          <w:trHeight w:hRule="exact" w:val="284"/>
        </w:trPr>
        <w:tc>
          <w:tcPr>
            <w:tcW w:w="2074" w:type="dxa"/>
          </w:tcPr>
          <w:p w14:paraId="5759974A" w14:textId="18FC906F" w:rsidR="00AC6CF6" w:rsidRPr="00AC6CF6" w:rsidRDefault="00AC6CF6" w:rsidP="00AC6CF6">
            <w:pPr>
              <w:pStyle w:val="ListParagraph"/>
              <w:ind w:left="0"/>
              <w:rPr>
                <w:rFonts w:ascii="Arial" w:hAnsi="Arial" w:cs="Arial"/>
                <w:b/>
                <w:bCs/>
                <w:sz w:val="24"/>
                <w:szCs w:val="24"/>
              </w:rPr>
            </w:pPr>
            <w:r>
              <w:rPr>
                <w:rFonts w:ascii="Arial" w:hAnsi="Arial" w:cs="Arial"/>
                <w:b/>
                <w:bCs/>
                <w:sz w:val="24"/>
                <w:szCs w:val="24"/>
              </w:rPr>
              <w:t>Scheme</w:t>
            </w:r>
          </w:p>
        </w:tc>
        <w:tc>
          <w:tcPr>
            <w:tcW w:w="2074" w:type="dxa"/>
          </w:tcPr>
          <w:p w14:paraId="230DCC2C" w14:textId="650475AE" w:rsidR="00AC6CF6" w:rsidRPr="00AC6CF6" w:rsidRDefault="00AC6CF6" w:rsidP="00AC6CF6">
            <w:pPr>
              <w:pStyle w:val="ListParagraph"/>
              <w:ind w:left="0"/>
              <w:rPr>
                <w:rFonts w:ascii="Arial" w:hAnsi="Arial" w:cs="Arial"/>
                <w:b/>
                <w:bCs/>
                <w:sz w:val="24"/>
                <w:szCs w:val="24"/>
              </w:rPr>
            </w:pPr>
            <w:r w:rsidRPr="00AC6CF6">
              <w:rPr>
                <w:rFonts w:ascii="Arial" w:hAnsi="Arial" w:cs="Arial"/>
                <w:b/>
                <w:bCs/>
              </w:rPr>
              <w:t>Revised Funding</w:t>
            </w:r>
          </w:p>
        </w:tc>
        <w:tc>
          <w:tcPr>
            <w:tcW w:w="2074" w:type="dxa"/>
          </w:tcPr>
          <w:p w14:paraId="635E891A" w14:textId="0709288B" w:rsidR="00AC6CF6" w:rsidRPr="00AC6CF6" w:rsidRDefault="00AC6CF6" w:rsidP="00AC6CF6">
            <w:pPr>
              <w:pStyle w:val="ListParagraph"/>
              <w:ind w:left="0"/>
              <w:rPr>
                <w:rFonts w:ascii="Arial" w:hAnsi="Arial" w:cs="Arial"/>
                <w:b/>
                <w:bCs/>
                <w:sz w:val="24"/>
                <w:szCs w:val="24"/>
              </w:rPr>
            </w:pPr>
            <w:r w:rsidRPr="00AC6CF6">
              <w:rPr>
                <w:rFonts w:ascii="Arial" w:hAnsi="Arial" w:cs="Arial"/>
                <w:b/>
                <w:bCs/>
              </w:rPr>
              <w:t>Original Funding</w:t>
            </w:r>
          </w:p>
        </w:tc>
        <w:tc>
          <w:tcPr>
            <w:tcW w:w="2074" w:type="dxa"/>
          </w:tcPr>
          <w:p w14:paraId="3CBE9179" w14:textId="5DA45F6C" w:rsidR="00AC6CF6" w:rsidRPr="00AC6CF6" w:rsidRDefault="00AC6CF6" w:rsidP="00AC6CF6">
            <w:pPr>
              <w:pStyle w:val="ListParagraph"/>
              <w:ind w:left="0"/>
              <w:rPr>
                <w:rFonts w:ascii="Arial" w:hAnsi="Arial" w:cs="Arial"/>
                <w:b/>
                <w:bCs/>
                <w:sz w:val="24"/>
                <w:szCs w:val="24"/>
              </w:rPr>
            </w:pPr>
            <w:r w:rsidRPr="00AC6CF6">
              <w:rPr>
                <w:rFonts w:ascii="Arial" w:hAnsi="Arial" w:cs="Arial"/>
                <w:b/>
                <w:bCs/>
              </w:rPr>
              <w:t>Clawback</w:t>
            </w:r>
          </w:p>
        </w:tc>
      </w:tr>
      <w:tr w:rsidR="00AC6CF6" w:rsidRPr="00AC6CF6" w14:paraId="6D66AED6" w14:textId="77777777" w:rsidTr="00AC6CF6">
        <w:trPr>
          <w:trHeight w:hRule="exact" w:val="284"/>
        </w:trPr>
        <w:tc>
          <w:tcPr>
            <w:tcW w:w="2074" w:type="dxa"/>
          </w:tcPr>
          <w:p w14:paraId="1EF41BF3" w14:textId="03620E83" w:rsidR="00AC6CF6" w:rsidRPr="00AC6CF6" w:rsidRDefault="00AC6CF6" w:rsidP="00AC6CF6">
            <w:pPr>
              <w:pStyle w:val="ListParagraph"/>
              <w:ind w:left="0"/>
              <w:rPr>
                <w:rFonts w:ascii="Arial" w:hAnsi="Arial" w:cs="Arial"/>
                <w:sz w:val="24"/>
                <w:szCs w:val="24"/>
              </w:rPr>
            </w:pPr>
            <w:r w:rsidRPr="00AC6CF6">
              <w:rPr>
                <w:rFonts w:ascii="Arial" w:hAnsi="Arial" w:cs="Arial"/>
              </w:rPr>
              <w:t xml:space="preserve">2 </w:t>
            </w:r>
            <w:proofErr w:type="spellStart"/>
            <w:r w:rsidRPr="00AC6CF6">
              <w:rPr>
                <w:rFonts w:ascii="Arial" w:hAnsi="Arial" w:cs="Arial"/>
              </w:rPr>
              <w:t>yo</w:t>
            </w:r>
            <w:proofErr w:type="spellEnd"/>
          </w:p>
        </w:tc>
        <w:tc>
          <w:tcPr>
            <w:tcW w:w="2074" w:type="dxa"/>
          </w:tcPr>
          <w:p w14:paraId="15E0FCCA" w14:textId="63D3636C" w:rsidR="00AC6CF6" w:rsidRPr="00AC6CF6" w:rsidRDefault="00AC6CF6" w:rsidP="00AC6CF6">
            <w:pPr>
              <w:pStyle w:val="ListParagraph"/>
              <w:ind w:left="0"/>
              <w:jc w:val="right"/>
              <w:rPr>
                <w:rFonts w:ascii="Arial" w:hAnsi="Arial" w:cs="Arial"/>
                <w:sz w:val="24"/>
                <w:szCs w:val="24"/>
              </w:rPr>
            </w:pPr>
            <w:r w:rsidRPr="00AC6CF6">
              <w:rPr>
                <w:rFonts w:ascii="Arial" w:hAnsi="Arial" w:cs="Arial"/>
              </w:rPr>
              <w:t>£412,406</w:t>
            </w:r>
          </w:p>
        </w:tc>
        <w:tc>
          <w:tcPr>
            <w:tcW w:w="2074" w:type="dxa"/>
          </w:tcPr>
          <w:p w14:paraId="734E9E1B" w14:textId="3F9A0A0A" w:rsidR="00AC6CF6" w:rsidRPr="00AC6CF6" w:rsidRDefault="00AC6CF6" w:rsidP="00AC6CF6">
            <w:pPr>
              <w:pStyle w:val="ListParagraph"/>
              <w:ind w:left="0"/>
              <w:jc w:val="right"/>
              <w:rPr>
                <w:rFonts w:ascii="Arial" w:hAnsi="Arial" w:cs="Arial"/>
                <w:sz w:val="24"/>
                <w:szCs w:val="24"/>
              </w:rPr>
            </w:pPr>
            <w:r w:rsidRPr="00AC6CF6">
              <w:rPr>
                <w:rFonts w:ascii="Arial" w:hAnsi="Arial" w:cs="Arial"/>
              </w:rPr>
              <w:t>£426,130</w:t>
            </w:r>
          </w:p>
        </w:tc>
        <w:tc>
          <w:tcPr>
            <w:tcW w:w="2074" w:type="dxa"/>
          </w:tcPr>
          <w:p w14:paraId="2A147203" w14:textId="137FF960" w:rsidR="00AC6CF6" w:rsidRPr="00BE5F52" w:rsidRDefault="00AC6CF6" w:rsidP="00AC6CF6">
            <w:pPr>
              <w:pStyle w:val="ListParagraph"/>
              <w:ind w:left="0"/>
              <w:jc w:val="right"/>
              <w:rPr>
                <w:rFonts w:ascii="Arial" w:hAnsi="Arial" w:cs="Arial"/>
                <w:color w:val="FF0000"/>
                <w:sz w:val="24"/>
                <w:szCs w:val="24"/>
              </w:rPr>
            </w:pPr>
            <w:r w:rsidRPr="00BE5F52">
              <w:rPr>
                <w:rFonts w:ascii="Arial" w:hAnsi="Arial" w:cs="Arial"/>
                <w:color w:val="FF0000"/>
              </w:rPr>
              <w:t>-£13,724</w:t>
            </w:r>
          </w:p>
        </w:tc>
      </w:tr>
      <w:tr w:rsidR="00AC6CF6" w:rsidRPr="00AC6CF6" w14:paraId="53027DDA" w14:textId="77777777" w:rsidTr="00AC6CF6">
        <w:trPr>
          <w:trHeight w:hRule="exact" w:val="284"/>
        </w:trPr>
        <w:tc>
          <w:tcPr>
            <w:tcW w:w="2074" w:type="dxa"/>
          </w:tcPr>
          <w:p w14:paraId="174E281A" w14:textId="2F8EA640" w:rsidR="00AC6CF6" w:rsidRPr="00AC6CF6" w:rsidRDefault="00AC6CF6" w:rsidP="00AC6CF6">
            <w:pPr>
              <w:pStyle w:val="ListParagraph"/>
              <w:ind w:left="0"/>
              <w:rPr>
                <w:rFonts w:ascii="Arial" w:hAnsi="Arial" w:cs="Arial"/>
                <w:sz w:val="24"/>
                <w:szCs w:val="24"/>
              </w:rPr>
            </w:pPr>
            <w:r w:rsidRPr="00AC6CF6">
              <w:rPr>
                <w:rFonts w:ascii="Arial" w:hAnsi="Arial" w:cs="Arial"/>
              </w:rPr>
              <w:t xml:space="preserve">3/4 </w:t>
            </w:r>
            <w:proofErr w:type="spellStart"/>
            <w:r w:rsidRPr="00AC6CF6">
              <w:rPr>
                <w:rFonts w:ascii="Arial" w:hAnsi="Arial" w:cs="Arial"/>
              </w:rPr>
              <w:t>yo</w:t>
            </w:r>
            <w:proofErr w:type="spellEnd"/>
            <w:r w:rsidRPr="00AC6CF6">
              <w:rPr>
                <w:rFonts w:ascii="Arial" w:hAnsi="Arial" w:cs="Arial"/>
              </w:rPr>
              <w:t xml:space="preserve"> </w:t>
            </w:r>
          </w:p>
        </w:tc>
        <w:tc>
          <w:tcPr>
            <w:tcW w:w="2074" w:type="dxa"/>
          </w:tcPr>
          <w:p w14:paraId="2C6537B3" w14:textId="0E8CBEF1" w:rsidR="00AC6CF6" w:rsidRPr="00AC6CF6" w:rsidRDefault="00AC6CF6" w:rsidP="00AC6CF6">
            <w:pPr>
              <w:pStyle w:val="ListParagraph"/>
              <w:ind w:left="0"/>
              <w:jc w:val="right"/>
              <w:rPr>
                <w:rFonts w:ascii="Arial" w:hAnsi="Arial" w:cs="Arial"/>
                <w:sz w:val="24"/>
                <w:szCs w:val="24"/>
              </w:rPr>
            </w:pPr>
            <w:r w:rsidRPr="00AC6CF6">
              <w:rPr>
                <w:rFonts w:ascii="Arial" w:hAnsi="Arial" w:cs="Arial"/>
              </w:rPr>
              <w:t>£2,621,362</w:t>
            </w:r>
          </w:p>
        </w:tc>
        <w:tc>
          <w:tcPr>
            <w:tcW w:w="2074" w:type="dxa"/>
          </w:tcPr>
          <w:p w14:paraId="4216A817" w14:textId="4885E749" w:rsidR="00AC6CF6" w:rsidRPr="00AC6CF6" w:rsidRDefault="00AC6CF6" w:rsidP="00AC6CF6">
            <w:pPr>
              <w:pStyle w:val="ListParagraph"/>
              <w:ind w:left="0"/>
              <w:jc w:val="right"/>
              <w:rPr>
                <w:rFonts w:ascii="Arial" w:hAnsi="Arial" w:cs="Arial"/>
                <w:sz w:val="24"/>
                <w:szCs w:val="24"/>
              </w:rPr>
            </w:pPr>
            <w:r w:rsidRPr="00AC6CF6">
              <w:rPr>
                <w:rFonts w:ascii="Arial" w:hAnsi="Arial" w:cs="Arial"/>
              </w:rPr>
              <w:t>£4,404,956</w:t>
            </w:r>
          </w:p>
        </w:tc>
        <w:tc>
          <w:tcPr>
            <w:tcW w:w="2074" w:type="dxa"/>
          </w:tcPr>
          <w:p w14:paraId="7A3B60EE" w14:textId="5406BD26" w:rsidR="00AC6CF6" w:rsidRPr="00BE5F52" w:rsidRDefault="00AC6CF6" w:rsidP="00AC6CF6">
            <w:pPr>
              <w:pStyle w:val="ListParagraph"/>
              <w:ind w:left="0"/>
              <w:jc w:val="right"/>
              <w:rPr>
                <w:rFonts w:ascii="Arial" w:hAnsi="Arial" w:cs="Arial"/>
                <w:color w:val="FF0000"/>
                <w:sz w:val="24"/>
                <w:szCs w:val="24"/>
              </w:rPr>
            </w:pPr>
            <w:r w:rsidRPr="00BE5F52">
              <w:rPr>
                <w:rFonts w:ascii="Arial" w:hAnsi="Arial" w:cs="Arial"/>
                <w:color w:val="FF0000"/>
              </w:rPr>
              <w:t>-£1,783,594</w:t>
            </w:r>
          </w:p>
        </w:tc>
      </w:tr>
      <w:tr w:rsidR="00AC6CF6" w:rsidRPr="00AC6CF6" w14:paraId="21C886ED" w14:textId="77777777" w:rsidTr="00AC6CF6">
        <w:trPr>
          <w:trHeight w:hRule="exact" w:val="284"/>
        </w:trPr>
        <w:tc>
          <w:tcPr>
            <w:tcW w:w="2074" w:type="dxa"/>
          </w:tcPr>
          <w:p w14:paraId="21A2E38C" w14:textId="6F62FA6D" w:rsidR="00AC6CF6" w:rsidRPr="00AC6CF6" w:rsidRDefault="00AC6CF6" w:rsidP="00AC6CF6">
            <w:pPr>
              <w:pStyle w:val="ListParagraph"/>
              <w:ind w:left="0"/>
              <w:rPr>
                <w:rFonts w:ascii="Arial" w:hAnsi="Arial" w:cs="Arial"/>
                <w:b/>
                <w:bCs/>
                <w:sz w:val="24"/>
                <w:szCs w:val="24"/>
              </w:rPr>
            </w:pPr>
            <w:r w:rsidRPr="00AC6CF6">
              <w:rPr>
                <w:rFonts w:ascii="Arial" w:hAnsi="Arial" w:cs="Arial"/>
                <w:b/>
                <w:bCs/>
                <w:sz w:val="24"/>
                <w:szCs w:val="24"/>
              </w:rPr>
              <w:t>Total</w:t>
            </w:r>
          </w:p>
        </w:tc>
        <w:tc>
          <w:tcPr>
            <w:tcW w:w="2074" w:type="dxa"/>
          </w:tcPr>
          <w:p w14:paraId="0100330D" w14:textId="21934EA5" w:rsidR="00AC6CF6" w:rsidRPr="00AC6CF6" w:rsidRDefault="00AC6CF6" w:rsidP="00AC6CF6">
            <w:pPr>
              <w:pStyle w:val="ListParagraph"/>
              <w:ind w:left="0"/>
              <w:jc w:val="right"/>
              <w:rPr>
                <w:rFonts w:ascii="Arial" w:hAnsi="Arial" w:cs="Arial"/>
                <w:b/>
                <w:bCs/>
                <w:sz w:val="24"/>
                <w:szCs w:val="24"/>
              </w:rPr>
            </w:pPr>
            <w:r w:rsidRPr="00AC6CF6">
              <w:rPr>
                <w:rFonts w:ascii="Arial" w:hAnsi="Arial" w:cs="Arial"/>
                <w:b/>
                <w:bCs/>
              </w:rPr>
              <w:t>£3,033,768</w:t>
            </w:r>
          </w:p>
        </w:tc>
        <w:tc>
          <w:tcPr>
            <w:tcW w:w="2074" w:type="dxa"/>
          </w:tcPr>
          <w:p w14:paraId="7FB32E3E" w14:textId="2B3CE2BD" w:rsidR="00AC6CF6" w:rsidRPr="00AC6CF6" w:rsidRDefault="00AC6CF6" w:rsidP="00AC6CF6">
            <w:pPr>
              <w:pStyle w:val="ListParagraph"/>
              <w:ind w:left="0"/>
              <w:jc w:val="right"/>
              <w:rPr>
                <w:rFonts w:ascii="Arial" w:hAnsi="Arial" w:cs="Arial"/>
                <w:b/>
                <w:bCs/>
                <w:sz w:val="24"/>
                <w:szCs w:val="24"/>
              </w:rPr>
            </w:pPr>
            <w:r w:rsidRPr="00AC6CF6">
              <w:rPr>
                <w:rFonts w:ascii="Arial" w:hAnsi="Arial" w:cs="Arial"/>
                <w:b/>
                <w:bCs/>
              </w:rPr>
              <w:t>£4,831,086</w:t>
            </w:r>
          </w:p>
        </w:tc>
        <w:tc>
          <w:tcPr>
            <w:tcW w:w="2074" w:type="dxa"/>
          </w:tcPr>
          <w:p w14:paraId="18020D64" w14:textId="59D33B7C" w:rsidR="00AC6CF6" w:rsidRPr="00BE5F52" w:rsidRDefault="00AC6CF6" w:rsidP="00AC6CF6">
            <w:pPr>
              <w:pStyle w:val="ListParagraph"/>
              <w:ind w:left="0"/>
              <w:jc w:val="right"/>
              <w:rPr>
                <w:rFonts w:ascii="Arial" w:hAnsi="Arial" w:cs="Arial"/>
                <w:b/>
                <w:bCs/>
                <w:color w:val="FF0000"/>
                <w:sz w:val="24"/>
                <w:szCs w:val="24"/>
              </w:rPr>
            </w:pPr>
            <w:r w:rsidRPr="00BE5F52">
              <w:rPr>
                <w:rFonts w:ascii="Arial" w:hAnsi="Arial" w:cs="Arial"/>
                <w:b/>
                <w:bCs/>
                <w:color w:val="FF0000"/>
              </w:rPr>
              <w:t>-£1,797,318</w:t>
            </w:r>
          </w:p>
        </w:tc>
      </w:tr>
    </w:tbl>
    <w:p w14:paraId="3911DAE4" w14:textId="7D073F5B" w:rsidR="004738B0" w:rsidRDefault="004738B0" w:rsidP="004738B0">
      <w:pPr>
        <w:pStyle w:val="ListParagraph"/>
        <w:rPr>
          <w:rFonts w:ascii="Arial" w:hAnsi="Arial" w:cs="Arial"/>
          <w:sz w:val="24"/>
          <w:szCs w:val="24"/>
        </w:rPr>
      </w:pPr>
    </w:p>
    <w:p w14:paraId="5A1BF36D" w14:textId="4EA6FFA1" w:rsidR="00AC6CF6" w:rsidRDefault="00AC6CF6" w:rsidP="00AC6CF6">
      <w:pPr>
        <w:pStyle w:val="ListParagraph"/>
        <w:numPr>
          <w:ilvl w:val="0"/>
          <w:numId w:val="1"/>
        </w:numPr>
        <w:rPr>
          <w:rFonts w:ascii="Arial" w:hAnsi="Arial" w:cs="Arial"/>
          <w:sz w:val="24"/>
          <w:szCs w:val="24"/>
        </w:rPr>
      </w:pPr>
      <w:r>
        <w:rPr>
          <w:rFonts w:ascii="Arial" w:hAnsi="Arial" w:cs="Arial"/>
          <w:sz w:val="24"/>
          <w:szCs w:val="24"/>
        </w:rPr>
        <w:t>The overall clawback is expected to be £1.797m. In addition to this, the funding adjustment to Summer Term 2021 is expected to be as follows:</w:t>
      </w:r>
    </w:p>
    <w:p w14:paraId="77A9AFD5" w14:textId="43CB713E" w:rsidR="00AC6CF6" w:rsidRDefault="00AC6CF6" w:rsidP="00AC6CF6">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074"/>
        <w:gridCol w:w="2074"/>
        <w:gridCol w:w="2074"/>
        <w:gridCol w:w="2074"/>
      </w:tblGrid>
      <w:tr w:rsidR="00AC6CF6" w:rsidRPr="00AC6CF6" w14:paraId="041F73FA" w14:textId="77777777" w:rsidTr="00BE0F6B">
        <w:trPr>
          <w:trHeight w:hRule="exact" w:val="284"/>
        </w:trPr>
        <w:tc>
          <w:tcPr>
            <w:tcW w:w="2074" w:type="dxa"/>
          </w:tcPr>
          <w:p w14:paraId="72EE4C5A" w14:textId="77777777" w:rsidR="00AC6CF6" w:rsidRPr="00AC6CF6" w:rsidRDefault="00AC6CF6" w:rsidP="00AC6CF6">
            <w:pPr>
              <w:pStyle w:val="ListParagraph"/>
              <w:ind w:left="0"/>
              <w:rPr>
                <w:rFonts w:ascii="Arial" w:hAnsi="Arial" w:cs="Arial"/>
                <w:b/>
                <w:bCs/>
                <w:sz w:val="24"/>
                <w:szCs w:val="24"/>
              </w:rPr>
            </w:pPr>
            <w:r w:rsidRPr="00AC6CF6">
              <w:rPr>
                <w:rFonts w:ascii="Arial" w:hAnsi="Arial" w:cs="Arial"/>
                <w:b/>
                <w:bCs/>
                <w:sz w:val="24"/>
                <w:szCs w:val="24"/>
              </w:rPr>
              <w:t>Scheme</w:t>
            </w:r>
          </w:p>
        </w:tc>
        <w:tc>
          <w:tcPr>
            <w:tcW w:w="2074" w:type="dxa"/>
          </w:tcPr>
          <w:p w14:paraId="3AF40DCF" w14:textId="78DB8918" w:rsidR="00AC6CF6" w:rsidRPr="00AC6CF6" w:rsidRDefault="00BE5F52" w:rsidP="00AC6CF6">
            <w:pPr>
              <w:pStyle w:val="ListParagraph"/>
              <w:ind w:left="0"/>
              <w:rPr>
                <w:rFonts w:ascii="Arial" w:hAnsi="Arial" w:cs="Arial"/>
                <w:b/>
                <w:bCs/>
                <w:sz w:val="24"/>
                <w:szCs w:val="24"/>
              </w:rPr>
            </w:pPr>
            <w:r>
              <w:rPr>
                <w:rFonts w:ascii="Arial" w:hAnsi="Arial" w:cs="Arial"/>
                <w:b/>
                <w:bCs/>
              </w:rPr>
              <w:t>Revised</w:t>
            </w:r>
            <w:r w:rsidR="00AC6CF6" w:rsidRPr="00AC6CF6">
              <w:rPr>
                <w:rFonts w:ascii="Arial" w:hAnsi="Arial" w:cs="Arial"/>
                <w:b/>
                <w:bCs/>
              </w:rPr>
              <w:t xml:space="preserve"> Funding</w:t>
            </w:r>
          </w:p>
        </w:tc>
        <w:tc>
          <w:tcPr>
            <w:tcW w:w="2074" w:type="dxa"/>
          </w:tcPr>
          <w:p w14:paraId="3FC29471" w14:textId="1B73626F" w:rsidR="00AC6CF6" w:rsidRPr="00AC6CF6" w:rsidRDefault="00AC6CF6" w:rsidP="00AC6CF6">
            <w:pPr>
              <w:pStyle w:val="ListParagraph"/>
              <w:ind w:left="0"/>
              <w:rPr>
                <w:rFonts w:ascii="Arial" w:hAnsi="Arial" w:cs="Arial"/>
                <w:b/>
                <w:bCs/>
                <w:sz w:val="24"/>
                <w:szCs w:val="24"/>
              </w:rPr>
            </w:pPr>
            <w:r w:rsidRPr="00AC6CF6">
              <w:rPr>
                <w:rFonts w:ascii="Arial" w:hAnsi="Arial" w:cs="Arial"/>
                <w:b/>
                <w:bCs/>
              </w:rPr>
              <w:t>Actual Paid Out</w:t>
            </w:r>
          </w:p>
        </w:tc>
        <w:tc>
          <w:tcPr>
            <w:tcW w:w="2074" w:type="dxa"/>
          </w:tcPr>
          <w:p w14:paraId="26C58F84" w14:textId="226D50BB" w:rsidR="00AC6CF6" w:rsidRPr="00AC6CF6" w:rsidRDefault="00AC6CF6" w:rsidP="00AC6CF6">
            <w:pPr>
              <w:pStyle w:val="ListParagraph"/>
              <w:ind w:left="0"/>
              <w:rPr>
                <w:rFonts w:ascii="Arial" w:hAnsi="Arial" w:cs="Arial"/>
                <w:b/>
                <w:bCs/>
                <w:sz w:val="24"/>
                <w:szCs w:val="24"/>
              </w:rPr>
            </w:pPr>
            <w:r w:rsidRPr="00AC6CF6">
              <w:rPr>
                <w:rFonts w:ascii="Arial" w:hAnsi="Arial" w:cs="Arial"/>
                <w:b/>
                <w:bCs/>
              </w:rPr>
              <w:t xml:space="preserve">Surplus/ </w:t>
            </w:r>
            <w:r w:rsidRPr="00AC6CF6">
              <w:rPr>
                <w:rFonts w:ascii="Arial" w:hAnsi="Arial" w:cs="Arial"/>
                <w:b/>
                <w:bCs/>
                <w:color w:val="FF0000"/>
              </w:rPr>
              <w:t>Shortfall</w:t>
            </w:r>
          </w:p>
        </w:tc>
      </w:tr>
      <w:tr w:rsidR="00AC6CF6" w:rsidRPr="00AC6CF6" w14:paraId="2DE14FEB" w14:textId="77777777" w:rsidTr="00BE0F6B">
        <w:trPr>
          <w:trHeight w:hRule="exact" w:val="284"/>
        </w:trPr>
        <w:tc>
          <w:tcPr>
            <w:tcW w:w="2074" w:type="dxa"/>
          </w:tcPr>
          <w:p w14:paraId="45B0FA10" w14:textId="77777777" w:rsidR="00AC6CF6" w:rsidRPr="00AC6CF6" w:rsidRDefault="00AC6CF6" w:rsidP="00AC6CF6">
            <w:pPr>
              <w:pStyle w:val="ListParagraph"/>
              <w:ind w:left="0"/>
              <w:rPr>
                <w:rFonts w:ascii="Arial" w:hAnsi="Arial" w:cs="Arial"/>
                <w:sz w:val="24"/>
                <w:szCs w:val="24"/>
              </w:rPr>
            </w:pPr>
            <w:r w:rsidRPr="00AC6CF6">
              <w:rPr>
                <w:rFonts w:ascii="Arial" w:hAnsi="Arial" w:cs="Arial"/>
              </w:rPr>
              <w:t xml:space="preserve">2 </w:t>
            </w:r>
            <w:proofErr w:type="spellStart"/>
            <w:r w:rsidRPr="00AC6CF6">
              <w:rPr>
                <w:rFonts w:ascii="Arial" w:hAnsi="Arial" w:cs="Arial"/>
              </w:rPr>
              <w:t>yo</w:t>
            </w:r>
            <w:proofErr w:type="spellEnd"/>
          </w:p>
        </w:tc>
        <w:tc>
          <w:tcPr>
            <w:tcW w:w="2074" w:type="dxa"/>
          </w:tcPr>
          <w:p w14:paraId="31761327" w14:textId="483A68E1" w:rsidR="00AC6CF6" w:rsidRPr="00AC6CF6" w:rsidRDefault="00AC6CF6" w:rsidP="00AC6CF6">
            <w:pPr>
              <w:pStyle w:val="ListParagraph"/>
              <w:ind w:left="0"/>
              <w:jc w:val="right"/>
              <w:rPr>
                <w:rFonts w:ascii="Arial" w:hAnsi="Arial" w:cs="Arial"/>
                <w:sz w:val="24"/>
                <w:szCs w:val="24"/>
              </w:rPr>
            </w:pPr>
            <w:r w:rsidRPr="00AC6CF6">
              <w:rPr>
                <w:rFonts w:ascii="Arial" w:hAnsi="Arial" w:cs="Arial"/>
              </w:rPr>
              <w:t>£696,008</w:t>
            </w:r>
          </w:p>
        </w:tc>
        <w:tc>
          <w:tcPr>
            <w:tcW w:w="2074" w:type="dxa"/>
          </w:tcPr>
          <w:p w14:paraId="19C982C2" w14:textId="03D6505D" w:rsidR="00AC6CF6" w:rsidRPr="00AC6CF6" w:rsidRDefault="00AC6CF6" w:rsidP="00AC6CF6">
            <w:pPr>
              <w:pStyle w:val="ListParagraph"/>
              <w:ind w:left="0"/>
              <w:jc w:val="right"/>
              <w:rPr>
                <w:rFonts w:ascii="Arial" w:hAnsi="Arial" w:cs="Arial"/>
                <w:sz w:val="24"/>
                <w:szCs w:val="24"/>
              </w:rPr>
            </w:pPr>
            <w:r w:rsidRPr="00AC6CF6">
              <w:rPr>
                <w:rFonts w:ascii="Arial" w:hAnsi="Arial" w:cs="Arial"/>
              </w:rPr>
              <w:t>£546,882</w:t>
            </w:r>
          </w:p>
        </w:tc>
        <w:tc>
          <w:tcPr>
            <w:tcW w:w="2074" w:type="dxa"/>
          </w:tcPr>
          <w:p w14:paraId="62A9F9CE" w14:textId="4FD5C458" w:rsidR="00AC6CF6" w:rsidRPr="00AC6CF6" w:rsidRDefault="00AC6CF6" w:rsidP="00AC6CF6">
            <w:pPr>
              <w:pStyle w:val="ListParagraph"/>
              <w:ind w:left="0"/>
              <w:jc w:val="right"/>
              <w:rPr>
                <w:rFonts w:ascii="Arial" w:hAnsi="Arial" w:cs="Arial"/>
                <w:sz w:val="24"/>
                <w:szCs w:val="24"/>
              </w:rPr>
            </w:pPr>
            <w:r w:rsidRPr="00AC6CF6">
              <w:rPr>
                <w:rFonts w:ascii="Arial" w:hAnsi="Arial" w:cs="Arial"/>
              </w:rPr>
              <w:t>£149,126</w:t>
            </w:r>
          </w:p>
        </w:tc>
      </w:tr>
      <w:tr w:rsidR="00AC6CF6" w:rsidRPr="00AC6CF6" w14:paraId="6B849A47" w14:textId="77777777" w:rsidTr="00BE0F6B">
        <w:trPr>
          <w:trHeight w:hRule="exact" w:val="284"/>
        </w:trPr>
        <w:tc>
          <w:tcPr>
            <w:tcW w:w="2074" w:type="dxa"/>
          </w:tcPr>
          <w:p w14:paraId="37C3BC6B" w14:textId="77777777" w:rsidR="00AC6CF6" w:rsidRPr="00AC6CF6" w:rsidRDefault="00AC6CF6" w:rsidP="00AC6CF6">
            <w:pPr>
              <w:pStyle w:val="ListParagraph"/>
              <w:ind w:left="0"/>
              <w:rPr>
                <w:rFonts w:ascii="Arial" w:hAnsi="Arial" w:cs="Arial"/>
                <w:sz w:val="24"/>
                <w:szCs w:val="24"/>
              </w:rPr>
            </w:pPr>
            <w:r w:rsidRPr="00AC6CF6">
              <w:rPr>
                <w:rFonts w:ascii="Arial" w:hAnsi="Arial" w:cs="Arial"/>
              </w:rPr>
              <w:t xml:space="preserve">3/4 </w:t>
            </w:r>
            <w:proofErr w:type="spellStart"/>
            <w:r w:rsidRPr="00AC6CF6">
              <w:rPr>
                <w:rFonts w:ascii="Arial" w:hAnsi="Arial" w:cs="Arial"/>
              </w:rPr>
              <w:t>yo</w:t>
            </w:r>
            <w:proofErr w:type="spellEnd"/>
            <w:r w:rsidRPr="00AC6CF6">
              <w:rPr>
                <w:rFonts w:ascii="Arial" w:hAnsi="Arial" w:cs="Arial"/>
              </w:rPr>
              <w:t xml:space="preserve"> </w:t>
            </w:r>
          </w:p>
        </w:tc>
        <w:tc>
          <w:tcPr>
            <w:tcW w:w="2074" w:type="dxa"/>
          </w:tcPr>
          <w:p w14:paraId="6B202ABD" w14:textId="56DA4586" w:rsidR="00AC6CF6" w:rsidRPr="00AC6CF6" w:rsidRDefault="00AC6CF6" w:rsidP="00AC6CF6">
            <w:pPr>
              <w:pStyle w:val="ListParagraph"/>
              <w:ind w:left="0"/>
              <w:jc w:val="right"/>
              <w:rPr>
                <w:rFonts w:ascii="Arial" w:hAnsi="Arial" w:cs="Arial"/>
                <w:sz w:val="24"/>
                <w:szCs w:val="24"/>
              </w:rPr>
            </w:pPr>
            <w:r w:rsidRPr="00AC6CF6">
              <w:rPr>
                <w:rFonts w:ascii="Arial" w:hAnsi="Arial" w:cs="Arial"/>
              </w:rPr>
              <w:t>£4,292,388</w:t>
            </w:r>
          </w:p>
        </w:tc>
        <w:tc>
          <w:tcPr>
            <w:tcW w:w="2074" w:type="dxa"/>
          </w:tcPr>
          <w:p w14:paraId="4C1474A5" w14:textId="0EAA128E" w:rsidR="00AC6CF6" w:rsidRPr="00AC6CF6" w:rsidRDefault="00AC6CF6" w:rsidP="00AC6CF6">
            <w:pPr>
              <w:pStyle w:val="ListParagraph"/>
              <w:ind w:left="0"/>
              <w:jc w:val="right"/>
              <w:rPr>
                <w:rFonts w:ascii="Arial" w:hAnsi="Arial" w:cs="Arial"/>
                <w:sz w:val="24"/>
                <w:szCs w:val="24"/>
              </w:rPr>
            </w:pPr>
            <w:r w:rsidRPr="00AC6CF6">
              <w:rPr>
                <w:rFonts w:ascii="Arial" w:hAnsi="Arial" w:cs="Arial"/>
              </w:rPr>
              <w:t>£4,481,235</w:t>
            </w:r>
          </w:p>
        </w:tc>
        <w:tc>
          <w:tcPr>
            <w:tcW w:w="2074" w:type="dxa"/>
          </w:tcPr>
          <w:p w14:paraId="47CBABA4" w14:textId="2D968224" w:rsidR="00AC6CF6" w:rsidRPr="00AC6CF6" w:rsidRDefault="00AC6CF6" w:rsidP="00AC6CF6">
            <w:pPr>
              <w:pStyle w:val="ListParagraph"/>
              <w:ind w:left="0"/>
              <w:jc w:val="right"/>
              <w:rPr>
                <w:rFonts w:ascii="Arial" w:hAnsi="Arial" w:cs="Arial"/>
                <w:sz w:val="24"/>
                <w:szCs w:val="24"/>
              </w:rPr>
            </w:pPr>
            <w:r w:rsidRPr="00AC6CF6">
              <w:rPr>
                <w:rFonts w:ascii="Arial" w:hAnsi="Arial" w:cs="Arial"/>
                <w:color w:val="FF0000"/>
              </w:rPr>
              <w:t>-£188,847</w:t>
            </w:r>
          </w:p>
        </w:tc>
      </w:tr>
      <w:tr w:rsidR="00AC6CF6" w:rsidRPr="00AC6CF6" w14:paraId="2F1D31F5" w14:textId="77777777" w:rsidTr="00BE0F6B">
        <w:trPr>
          <w:trHeight w:hRule="exact" w:val="284"/>
        </w:trPr>
        <w:tc>
          <w:tcPr>
            <w:tcW w:w="2074" w:type="dxa"/>
          </w:tcPr>
          <w:p w14:paraId="591F7E9E" w14:textId="77777777" w:rsidR="00AC6CF6" w:rsidRPr="00AC6CF6" w:rsidRDefault="00AC6CF6" w:rsidP="00AC6CF6">
            <w:pPr>
              <w:pStyle w:val="ListParagraph"/>
              <w:ind w:left="0"/>
              <w:rPr>
                <w:rFonts w:ascii="Arial" w:hAnsi="Arial" w:cs="Arial"/>
                <w:b/>
                <w:bCs/>
                <w:sz w:val="24"/>
                <w:szCs w:val="24"/>
              </w:rPr>
            </w:pPr>
            <w:r w:rsidRPr="00AC6CF6">
              <w:rPr>
                <w:rFonts w:ascii="Arial" w:hAnsi="Arial" w:cs="Arial"/>
                <w:b/>
                <w:bCs/>
                <w:sz w:val="24"/>
                <w:szCs w:val="24"/>
              </w:rPr>
              <w:t>Total</w:t>
            </w:r>
          </w:p>
        </w:tc>
        <w:tc>
          <w:tcPr>
            <w:tcW w:w="2074" w:type="dxa"/>
          </w:tcPr>
          <w:p w14:paraId="284951BC" w14:textId="020B6D88" w:rsidR="00AC6CF6" w:rsidRPr="00AC6CF6" w:rsidRDefault="00AC6CF6" w:rsidP="00AC6CF6">
            <w:pPr>
              <w:pStyle w:val="ListParagraph"/>
              <w:ind w:left="0"/>
              <w:jc w:val="right"/>
              <w:rPr>
                <w:rFonts w:ascii="Arial" w:hAnsi="Arial" w:cs="Arial"/>
                <w:b/>
                <w:bCs/>
                <w:sz w:val="24"/>
                <w:szCs w:val="24"/>
              </w:rPr>
            </w:pPr>
            <w:r w:rsidRPr="00AC6CF6">
              <w:rPr>
                <w:rFonts w:ascii="Arial" w:hAnsi="Arial" w:cs="Arial"/>
                <w:b/>
                <w:bCs/>
              </w:rPr>
              <w:t>£4,988,396</w:t>
            </w:r>
          </w:p>
        </w:tc>
        <w:tc>
          <w:tcPr>
            <w:tcW w:w="2074" w:type="dxa"/>
          </w:tcPr>
          <w:p w14:paraId="1FD16713" w14:textId="0B75B4B4" w:rsidR="00AC6CF6" w:rsidRPr="00AC6CF6" w:rsidRDefault="00AC6CF6" w:rsidP="00AC6CF6">
            <w:pPr>
              <w:pStyle w:val="ListParagraph"/>
              <w:ind w:left="0"/>
              <w:jc w:val="right"/>
              <w:rPr>
                <w:rFonts w:ascii="Arial" w:hAnsi="Arial" w:cs="Arial"/>
                <w:b/>
                <w:bCs/>
                <w:sz w:val="24"/>
                <w:szCs w:val="24"/>
              </w:rPr>
            </w:pPr>
            <w:r w:rsidRPr="00AC6CF6">
              <w:rPr>
                <w:rFonts w:ascii="Arial" w:hAnsi="Arial" w:cs="Arial"/>
                <w:b/>
                <w:bCs/>
              </w:rPr>
              <w:t>£5,028,117</w:t>
            </w:r>
          </w:p>
        </w:tc>
        <w:tc>
          <w:tcPr>
            <w:tcW w:w="2074" w:type="dxa"/>
          </w:tcPr>
          <w:p w14:paraId="3F6C0C35" w14:textId="3DA21D02" w:rsidR="00AC6CF6" w:rsidRPr="00AC6CF6" w:rsidRDefault="00AC6CF6" w:rsidP="00AC6CF6">
            <w:pPr>
              <w:pStyle w:val="ListParagraph"/>
              <w:ind w:left="0"/>
              <w:jc w:val="right"/>
              <w:rPr>
                <w:rFonts w:ascii="Arial" w:hAnsi="Arial" w:cs="Arial"/>
                <w:b/>
                <w:bCs/>
                <w:sz w:val="24"/>
                <w:szCs w:val="24"/>
              </w:rPr>
            </w:pPr>
            <w:r w:rsidRPr="00AC6CF6">
              <w:rPr>
                <w:rFonts w:ascii="Arial" w:hAnsi="Arial" w:cs="Arial"/>
                <w:b/>
                <w:bCs/>
                <w:color w:val="FF0000"/>
              </w:rPr>
              <w:t>-£39,721</w:t>
            </w:r>
          </w:p>
        </w:tc>
      </w:tr>
    </w:tbl>
    <w:p w14:paraId="6EC442E5" w14:textId="7A473031" w:rsidR="00AC6CF6" w:rsidRDefault="00AC6CF6" w:rsidP="00AC6CF6">
      <w:pPr>
        <w:pStyle w:val="ListParagraph"/>
        <w:rPr>
          <w:rFonts w:ascii="Arial" w:hAnsi="Arial" w:cs="Arial"/>
          <w:sz w:val="24"/>
          <w:szCs w:val="24"/>
        </w:rPr>
      </w:pPr>
    </w:p>
    <w:p w14:paraId="1810C250" w14:textId="488303D5" w:rsidR="00AC6CF6" w:rsidRDefault="00BE5F52" w:rsidP="004F4786">
      <w:pPr>
        <w:pStyle w:val="ListParagraph"/>
        <w:numPr>
          <w:ilvl w:val="0"/>
          <w:numId w:val="1"/>
        </w:numPr>
        <w:rPr>
          <w:rFonts w:ascii="Arial" w:hAnsi="Arial" w:cs="Arial"/>
          <w:sz w:val="24"/>
          <w:szCs w:val="24"/>
        </w:rPr>
      </w:pPr>
      <w:r>
        <w:rPr>
          <w:rFonts w:ascii="Arial" w:hAnsi="Arial" w:cs="Arial"/>
          <w:sz w:val="24"/>
          <w:szCs w:val="24"/>
        </w:rPr>
        <w:t>This takes the total Early Years funding adjustments to around £1.84m. This will need to be funded by the contingency</w:t>
      </w:r>
      <w:r w:rsidR="004F4786">
        <w:rPr>
          <w:rFonts w:ascii="Arial" w:hAnsi="Arial" w:cs="Arial"/>
          <w:sz w:val="24"/>
          <w:szCs w:val="24"/>
        </w:rPr>
        <w:t xml:space="preserve"> which is covered later in this report.</w:t>
      </w:r>
    </w:p>
    <w:p w14:paraId="073E44CE" w14:textId="77777777" w:rsidR="004F4786" w:rsidRDefault="004F4786" w:rsidP="004F4786">
      <w:pPr>
        <w:pStyle w:val="ListParagraph"/>
        <w:rPr>
          <w:rFonts w:ascii="Arial" w:hAnsi="Arial" w:cs="Arial"/>
          <w:sz w:val="24"/>
          <w:szCs w:val="24"/>
        </w:rPr>
      </w:pPr>
    </w:p>
    <w:p w14:paraId="705A01C7" w14:textId="1D92FAD6" w:rsidR="004738B0" w:rsidRPr="004738B0" w:rsidRDefault="004738B0" w:rsidP="004738B0">
      <w:pPr>
        <w:pStyle w:val="ListParagraph"/>
        <w:rPr>
          <w:rFonts w:ascii="Arial" w:hAnsi="Arial" w:cs="Arial"/>
          <w:b/>
          <w:bCs/>
          <w:sz w:val="24"/>
          <w:szCs w:val="24"/>
        </w:rPr>
      </w:pPr>
      <w:r w:rsidRPr="004738B0">
        <w:rPr>
          <w:rFonts w:ascii="Arial" w:hAnsi="Arial" w:cs="Arial"/>
          <w:b/>
          <w:bCs/>
          <w:sz w:val="24"/>
          <w:szCs w:val="24"/>
        </w:rPr>
        <w:t>2021-22 Early Years Funding</w:t>
      </w:r>
    </w:p>
    <w:p w14:paraId="3D41ECE2" w14:textId="77777777" w:rsidR="004738B0" w:rsidRPr="004738B0" w:rsidRDefault="004738B0" w:rsidP="004738B0">
      <w:pPr>
        <w:pStyle w:val="ListParagraph"/>
        <w:rPr>
          <w:rFonts w:ascii="Arial" w:hAnsi="Arial" w:cs="Arial"/>
          <w:sz w:val="24"/>
          <w:szCs w:val="24"/>
        </w:rPr>
      </w:pPr>
    </w:p>
    <w:p w14:paraId="60F8ABDB" w14:textId="76643710" w:rsidR="004738B0" w:rsidRDefault="004738B0" w:rsidP="00BE5F52">
      <w:pPr>
        <w:pStyle w:val="ListParagraph"/>
        <w:numPr>
          <w:ilvl w:val="0"/>
          <w:numId w:val="1"/>
        </w:numPr>
        <w:rPr>
          <w:rFonts w:ascii="Arial" w:hAnsi="Arial" w:cs="Arial"/>
          <w:sz w:val="24"/>
          <w:szCs w:val="24"/>
        </w:rPr>
      </w:pPr>
      <w:r>
        <w:rPr>
          <w:rFonts w:ascii="Arial" w:hAnsi="Arial" w:cs="Arial"/>
          <w:sz w:val="24"/>
          <w:szCs w:val="24"/>
        </w:rPr>
        <w:t>The final early years funding allocation for 2021-22 will be based on the following:</w:t>
      </w:r>
    </w:p>
    <w:p w14:paraId="7DA15ACB" w14:textId="735F6D25" w:rsidR="004738B0" w:rsidRDefault="004738B0" w:rsidP="00AC6CF6">
      <w:pPr>
        <w:pStyle w:val="ListParagraph"/>
        <w:numPr>
          <w:ilvl w:val="1"/>
          <w:numId w:val="12"/>
        </w:numPr>
        <w:rPr>
          <w:rFonts w:ascii="Arial" w:hAnsi="Arial" w:cs="Arial"/>
          <w:sz w:val="24"/>
          <w:szCs w:val="24"/>
        </w:rPr>
      </w:pPr>
      <w:r>
        <w:rPr>
          <w:rFonts w:ascii="Arial" w:hAnsi="Arial" w:cs="Arial"/>
          <w:sz w:val="24"/>
          <w:szCs w:val="24"/>
        </w:rPr>
        <w:t>Summer Term 2021 – five-twelfths of the May 2021 count PTE numbers, plus</w:t>
      </w:r>
    </w:p>
    <w:p w14:paraId="2EEB2817" w14:textId="2BC91422" w:rsidR="004738B0" w:rsidRDefault="004738B0" w:rsidP="00AC6CF6">
      <w:pPr>
        <w:pStyle w:val="ListParagraph"/>
        <w:numPr>
          <w:ilvl w:val="1"/>
          <w:numId w:val="12"/>
        </w:numPr>
        <w:rPr>
          <w:rFonts w:ascii="Arial" w:hAnsi="Arial" w:cs="Arial"/>
          <w:sz w:val="24"/>
          <w:szCs w:val="24"/>
        </w:rPr>
      </w:pPr>
      <w:r>
        <w:rPr>
          <w:rFonts w:ascii="Arial" w:hAnsi="Arial" w:cs="Arial"/>
          <w:sz w:val="24"/>
          <w:szCs w:val="24"/>
        </w:rPr>
        <w:t>Autumn Tern 2021 – four-twelfths of the October 2021 count PTE, plus</w:t>
      </w:r>
    </w:p>
    <w:p w14:paraId="25DD6449" w14:textId="70018878" w:rsidR="009306B3" w:rsidRDefault="004738B0" w:rsidP="00A1152E">
      <w:pPr>
        <w:pStyle w:val="ListParagraph"/>
        <w:numPr>
          <w:ilvl w:val="1"/>
          <w:numId w:val="12"/>
        </w:numPr>
        <w:rPr>
          <w:rFonts w:ascii="Arial" w:hAnsi="Arial" w:cs="Arial"/>
          <w:sz w:val="24"/>
          <w:szCs w:val="24"/>
        </w:rPr>
      </w:pPr>
      <w:r>
        <w:rPr>
          <w:rFonts w:ascii="Arial" w:hAnsi="Arial" w:cs="Arial"/>
          <w:sz w:val="24"/>
          <w:szCs w:val="24"/>
        </w:rPr>
        <w:t>Spring Term 2022 – three-twelfths of the January 2022 census PTE numbers</w:t>
      </w:r>
    </w:p>
    <w:p w14:paraId="05DD4587" w14:textId="142A8BAD" w:rsidR="00A1152E" w:rsidRDefault="00A1152E" w:rsidP="00A1152E">
      <w:pPr>
        <w:rPr>
          <w:rFonts w:ascii="Arial" w:hAnsi="Arial" w:cs="Arial"/>
          <w:sz w:val="24"/>
          <w:szCs w:val="24"/>
        </w:rPr>
      </w:pPr>
    </w:p>
    <w:p w14:paraId="3F3D2C5C" w14:textId="63D1D037" w:rsidR="00A1152E" w:rsidRPr="00A1152E" w:rsidRDefault="00A1152E" w:rsidP="00A1152E">
      <w:pPr>
        <w:pStyle w:val="ListParagraph"/>
        <w:numPr>
          <w:ilvl w:val="0"/>
          <w:numId w:val="1"/>
        </w:numPr>
        <w:rPr>
          <w:rFonts w:ascii="Arial" w:hAnsi="Arial" w:cs="Arial"/>
          <w:sz w:val="24"/>
          <w:szCs w:val="24"/>
        </w:rPr>
      </w:pPr>
      <w:r>
        <w:rPr>
          <w:rFonts w:ascii="Arial" w:hAnsi="Arial" w:cs="Arial"/>
          <w:sz w:val="24"/>
          <w:szCs w:val="24"/>
        </w:rPr>
        <w:lastRenderedPageBreak/>
        <w:t>As at quarter 2 it was anticipated that the clawback for 2020-21 and the revised budget for 2021-22 would have been adjusted by the DfE however this is now expected later this month.</w:t>
      </w:r>
    </w:p>
    <w:p w14:paraId="42C493B7" w14:textId="77777777" w:rsidR="009306B3" w:rsidRPr="00DB2126" w:rsidRDefault="009306B3" w:rsidP="000D067B">
      <w:pPr>
        <w:pStyle w:val="ListParagraph"/>
        <w:rPr>
          <w:rFonts w:ascii="Arial" w:hAnsi="Arial" w:cs="Arial"/>
          <w:b/>
          <w:color w:val="FF0000"/>
          <w:sz w:val="24"/>
          <w:szCs w:val="24"/>
        </w:rPr>
      </w:pPr>
    </w:p>
    <w:p w14:paraId="060FF246" w14:textId="77777777" w:rsidR="003C3571" w:rsidRPr="00804FF5" w:rsidRDefault="00D7797E" w:rsidP="00DC01EB">
      <w:pPr>
        <w:ind w:left="360"/>
        <w:rPr>
          <w:rFonts w:ascii="Arial" w:hAnsi="Arial" w:cs="Arial"/>
          <w:b/>
          <w:sz w:val="24"/>
          <w:szCs w:val="24"/>
        </w:rPr>
      </w:pPr>
      <w:r w:rsidRPr="00804FF5">
        <w:rPr>
          <w:rFonts w:ascii="Arial" w:hAnsi="Arial" w:cs="Arial"/>
          <w:b/>
          <w:sz w:val="24"/>
          <w:szCs w:val="24"/>
        </w:rPr>
        <w:t>High Needs Block</w:t>
      </w:r>
    </w:p>
    <w:p w14:paraId="2CCE2001" w14:textId="690109D3" w:rsidR="002F0F7D" w:rsidRDefault="00C653BC" w:rsidP="00BE5F52">
      <w:pPr>
        <w:pStyle w:val="ListParagraph"/>
        <w:numPr>
          <w:ilvl w:val="0"/>
          <w:numId w:val="1"/>
        </w:numPr>
        <w:rPr>
          <w:rFonts w:ascii="Arial" w:hAnsi="Arial" w:cs="Arial"/>
          <w:sz w:val="24"/>
          <w:szCs w:val="24"/>
        </w:rPr>
      </w:pPr>
      <w:r w:rsidRPr="00804FF5">
        <w:rPr>
          <w:rFonts w:ascii="Arial" w:hAnsi="Arial" w:cs="Arial"/>
          <w:sz w:val="24"/>
          <w:szCs w:val="24"/>
        </w:rPr>
        <w:t>The High Needs Block budget is £</w:t>
      </w:r>
      <w:r w:rsidR="00876092" w:rsidRPr="00804FF5">
        <w:rPr>
          <w:rFonts w:ascii="Arial" w:hAnsi="Arial" w:cs="Arial"/>
          <w:sz w:val="24"/>
          <w:szCs w:val="24"/>
        </w:rPr>
        <w:t>3</w:t>
      </w:r>
      <w:r w:rsidR="00804FF5" w:rsidRPr="00804FF5">
        <w:rPr>
          <w:rFonts w:ascii="Arial" w:hAnsi="Arial" w:cs="Arial"/>
          <w:sz w:val="24"/>
          <w:szCs w:val="24"/>
        </w:rPr>
        <w:t>7.024</w:t>
      </w:r>
      <w:r w:rsidR="00876092" w:rsidRPr="00804FF5">
        <w:rPr>
          <w:rFonts w:ascii="Arial" w:hAnsi="Arial" w:cs="Arial"/>
          <w:sz w:val="24"/>
          <w:szCs w:val="24"/>
        </w:rPr>
        <w:t>m</w:t>
      </w:r>
      <w:r w:rsidR="00D851F9" w:rsidRPr="00804FF5">
        <w:rPr>
          <w:rFonts w:ascii="Arial" w:hAnsi="Arial" w:cs="Arial"/>
          <w:sz w:val="24"/>
          <w:szCs w:val="24"/>
        </w:rPr>
        <w:t xml:space="preserve"> after recoupment of place funding for academies</w:t>
      </w:r>
      <w:r w:rsidR="000F14E8" w:rsidRPr="00804FF5">
        <w:rPr>
          <w:rFonts w:ascii="Arial" w:hAnsi="Arial" w:cs="Arial"/>
          <w:sz w:val="24"/>
          <w:szCs w:val="24"/>
        </w:rPr>
        <w:t>/free schools</w:t>
      </w:r>
      <w:r w:rsidR="00D851F9" w:rsidRPr="00804FF5">
        <w:rPr>
          <w:rFonts w:ascii="Arial" w:hAnsi="Arial" w:cs="Arial"/>
          <w:sz w:val="24"/>
          <w:szCs w:val="24"/>
        </w:rPr>
        <w:t xml:space="preserve"> and post 16 institutions. It i</w:t>
      </w:r>
      <w:r w:rsidRPr="00804FF5">
        <w:rPr>
          <w:rFonts w:ascii="Arial" w:hAnsi="Arial" w:cs="Arial"/>
          <w:sz w:val="24"/>
          <w:szCs w:val="24"/>
        </w:rPr>
        <w:t xml:space="preserve">s currently forecasting to </w:t>
      </w:r>
      <w:r w:rsidR="00D851F9" w:rsidRPr="00804FF5">
        <w:rPr>
          <w:rFonts w:ascii="Arial" w:hAnsi="Arial" w:cs="Arial"/>
          <w:sz w:val="24"/>
          <w:szCs w:val="24"/>
        </w:rPr>
        <w:t xml:space="preserve">overspend by </w:t>
      </w:r>
      <w:r w:rsidR="00090E0A" w:rsidRPr="00804FF5">
        <w:rPr>
          <w:rFonts w:ascii="Arial" w:hAnsi="Arial" w:cs="Arial"/>
          <w:sz w:val="24"/>
          <w:szCs w:val="24"/>
        </w:rPr>
        <w:t>£</w:t>
      </w:r>
      <w:r w:rsidR="006B1BE2">
        <w:rPr>
          <w:rFonts w:ascii="Arial" w:hAnsi="Arial" w:cs="Arial"/>
          <w:sz w:val="24"/>
          <w:szCs w:val="24"/>
        </w:rPr>
        <w:t>1.</w:t>
      </w:r>
      <w:r w:rsidR="007579ED">
        <w:rPr>
          <w:rFonts w:ascii="Arial" w:hAnsi="Arial" w:cs="Arial"/>
          <w:sz w:val="24"/>
          <w:szCs w:val="24"/>
        </w:rPr>
        <w:t>164</w:t>
      </w:r>
      <w:r w:rsidR="006B1BE2">
        <w:rPr>
          <w:rFonts w:ascii="Arial" w:hAnsi="Arial" w:cs="Arial"/>
          <w:sz w:val="24"/>
          <w:szCs w:val="24"/>
        </w:rPr>
        <w:t>m</w:t>
      </w:r>
      <w:r w:rsidR="00804FF5" w:rsidRPr="00804FF5">
        <w:rPr>
          <w:rFonts w:ascii="Arial" w:hAnsi="Arial" w:cs="Arial"/>
          <w:sz w:val="24"/>
          <w:szCs w:val="24"/>
        </w:rPr>
        <w:t>.</w:t>
      </w:r>
    </w:p>
    <w:p w14:paraId="6F5AEE98" w14:textId="77777777" w:rsidR="00FD44C9" w:rsidRDefault="00FD44C9" w:rsidP="00FD44C9">
      <w:pPr>
        <w:pStyle w:val="ListParagraph"/>
        <w:rPr>
          <w:rFonts w:ascii="Arial" w:hAnsi="Arial" w:cs="Arial"/>
          <w:sz w:val="24"/>
          <w:szCs w:val="24"/>
        </w:rPr>
      </w:pPr>
    </w:p>
    <w:p w14:paraId="3109BCE9" w14:textId="7436686C" w:rsidR="00245CF9" w:rsidRDefault="00245CF9" w:rsidP="00BE5F52">
      <w:pPr>
        <w:pStyle w:val="ListParagraph"/>
        <w:numPr>
          <w:ilvl w:val="0"/>
          <w:numId w:val="1"/>
        </w:numPr>
        <w:rPr>
          <w:rFonts w:ascii="Arial" w:hAnsi="Arial" w:cs="Arial"/>
          <w:sz w:val="24"/>
          <w:szCs w:val="24"/>
        </w:rPr>
      </w:pPr>
      <w:r>
        <w:rPr>
          <w:rFonts w:ascii="Arial" w:hAnsi="Arial" w:cs="Arial"/>
          <w:sz w:val="24"/>
          <w:szCs w:val="24"/>
        </w:rPr>
        <w:t xml:space="preserve">The cumulative deficit at the end of March 2021 is £3.730m taking the </w:t>
      </w:r>
      <w:r w:rsidR="00FD44C9">
        <w:rPr>
          <w:rFonts w:ascii="Arial" w:hAnsi="Arial" w:cs="Arial"/>
          <w:sz w:val="24"/>
          <w:szCs w:val="24"/>
        </w:rPr>
        <w:t>projected deficit to £</w:t>
      </w:r>
      <w:r w:rsidR="007579ED">
        <w:rPr>
          <w:rFonts w:ascii="Arial" w:hAnsi="Arial" w:cs="Arial"/>
          <w:sz w:val="24"/>
          <w:szCs w:val="24"/>
        </w:rPr>
        <w:t>4.895</w:t>
      </w:r>
      <w:r w:rsidR="00FD44C9">
        <w:rPr>
          <w:rFonts w:ascii="Arial" w:hAnsi="Arial" w:cs="Arial"/>
          <w:sz w:val="24"/>
          <w:szCs w:val="24"/>
        </w:rPr>
        <w:t>m by the end of March 2022.</w:t>
      </w:r>
    </w:p>
    <w:p w14:paraId="7AAE7F28" w14:textId="77777777" w:rsidR="00D851F9" w:rsidRPr="00DB2126" w:rsidRDefault="00D851F9" w:rsidP="00D851F9">
      <w:pPr>
        <w:pStyle w:val="ListParagraph"/>
        <w:rPr>
          <w:rFonts w:ascii="Arial" w:hAnsi="Arial" w:cs="Arial"/>
          <w:color w:val="FF0000"/>
          <w:sz w:val="24"/>
          <w:szCs w:val="24"/>
        </w:rPr>
      </w:pPr>
    </w:p>
    <w:p w14:paraId="13511599" w14:textId="77777777" w:rsidR="00F416CF" w:rsidRPr="00804FF5" w:rsidRDefault="00D851F9" w:rsidP="00BE5F52">
      <w:pPr>
        <w:pStyle w:val="ListParagraph"/>
        <w:numPr>
          <w:ilvl w:val="0"/>
          <w:numId w:val="1"/>
        </w:numPr>
        <w:rPr>
          <w:rFonts w:ascii="Arial" w:hAnsi="Arial" w:cs="Arial"/>
          <w:sz w:val="24"/>
          <w:szCs w:val="24"/>
        </w:rPr>
      </w:pPr>
      <w:r w:rsidRPr="00804FF5">
        <w:rPr>
          <w:rFonts w:ascii="Arial" w:hAnsi="Arial" w:cs="Arial"/>
          <w:sz w:val="24"/>
          <w:szCs w:val="24"/>
        </w:rPr>
        <w:t>In 2018-19 the</w:t>
      </w:r>
      <w:r w:rsidR="00090E0A" w:rsidRPr="00804FF5">
        <w:rPr>
          <w:rFonts w:ascii="Arial" w:hAnsi="Arial" w:cs="Arial"/>
          <w:sz w:val="24"/>
          <w:szCs w:val="24"/>
        </w:rPr>
        <w:t xml:space="preserve"> Government introduced a High Needs National Funding Formula which </w:t>
      </w:r>
      <w:r w:rsidR="00F416CF" w:rsidRPr="00804FF5">
        <w:rPr>
          <w:rFonts w:ascii="Arial" w:hAnsi="Arial" w:cs="Arial"/>
          <w:sz w:val="24"/>
          <w:szCs w:val="24"/>
        </w:rPr>
        <w:t>has generated funding which is £2.9m lower than the actual budget allocated to High Needs in 2017-18. This is partially due to the fact that the 50% of the overall allocation is based on previous years’ HNB allocations, rather than the actual spending on HNB.</w:t>
      </w:r>
    </w:p>
    <w:p w14:paraId="28B64FFF" w14:textId="77777777" w:rsidR="00F416CF" w:rsidRPr="00804FF5" w:rsidRDefault="00F416CF" w:rsidP="00F416CF">
      <w:pPr>
        <w:pStyle w:val="ListParagraph"/>
        <w:rPr>
          <w:rFonts w:ascii="Arial" w:hAnsi="Arial" w:cs="Arial"/>
          <w:sz w:val="24"/>
          <w:szCs w:val="24"/>
        </w:rPr>
      </w:pPr>
    </w:p>
    <w:p w14:paraId="1FF68453" w14:textId="11F41020" w:rsidR="00E20405" w:rsidRDefault="00F44124" w:rsidP="00BE5F52">
      <w:pPr>
        <w:pStyle w:val="ListParagraph"/>
        <w:numPr>
          <w:ilvl w:val="0"/>
          <w:numId w:val="1"/>
        </w:numPr>
        <w:rPr>
          <w:rFonts w:ascii="Arial" w:hAnsi="Arial" w:cs="Arial"/>
          <w:sz w:val="24"/>
          <w:szCs w:val="24"/>
        </w:rPr>
      </w:pPr>
      <w:r w:rsidRPr="00804FF5">
        <w:rPr>
          <w:rFonts w:ascii="Arial" w:hAnsi="Arial" w:cs="Arial"/>
          <w:sz w:val="24"/>
          <w:szCs w:val="24"/>
        </w:rPr>
        <w:t xml:space="preserve">The LA has set a deficit budget </w:t>
      </w:r>
      <w:r w:rsidR="00910813" w:rsidRPr="00804FF5">
        <w:rPr>
          <w:rFonts w:ascii="Arial" w:hAnsi="Arial" w:cs="Arial"/>
          <w:sz w:val="24"/>
          <w:szCs w:val="24"/>
        </w:rPr>
        <w:t>based on projected spend</w:t>
      </w:r>
      <w:r w:rsidR="005D1495" w:rsidRPr="00804FF5">
        <w:rPr>
          <w:rFonts w:ascii="Arial" w:hAnsi="Arial" w:cs="Arial"/>
          <w:sz w:val="24"/>
          <w:szCs w:val="24"/>
        </w:rPr>
        <w:t xml:space="preserve"> and numbers of children</w:t>
      </w:r>
      <w:r w:rsidR="00910813" w:rsidRPr="00804FF5">
        <w:rPr>
          <w:rFonts w:ascii="Arial" w:hAnsi="Arial" w:cs="Arial"/>
          <w:sz w:val="24"/>
          <w:szCs w:val="24"/>
        </w:rPr>
        <w:t xml:space="preserve"> </w:t>
      </w:r>
      <w:r w:rsidRPr="00804FF5">
        <w:rPr>
          <w:rFonts w:ascii="Arial" w:hAnsi="Arial" w:cs="Arial"/>
          <w:sz w:val="24"/>
          <w:szCs w:val="24"/>
        </w:rPr>
        <w:t>and will need to fund this from future years’ DSG allocations.</w:t>
      </w:r>
      <w:r w:rsidR="00876092" w:rsidRPr="00804FF5">
        <w:rPr>
          <w:rFonts w:ascii="Arial" w:hAnsi="Arial" w:cs="Arial"/>
          <w:sz w:val="24"/>
          <w:szCs w:val="24"/>
        </w:rPr>
        <w:t xml:space="preserve"> From 2019</w:t>
      </w:r>
      <w:r w:rsidR="00E20405">
        <w:rPr>
          <w:rFonts w:ascii="Arial" w:hAnsi="Arial" w:cs="Arial"/>
          <w:sz w:val="24"/>
          <w:szCs w:val="24"/>
        </w:rPr>
        <w:t xml:space="preserve"> DSG deficits were ringfenced so that</w:t>
      </w:r>
      <w:r w:rsidR="00876092" w:rsidRPr="00804FF5">
        <w:rPr>
          <w:rFonts w:ascii="Arial" w:hAnsi="Arial" w:cs="Arial"/>
          <w:sz w:val="24"/>
          <w:szCs w:val="24"/>
        </w:rPr>
        <w:t xml:space="preserve"> LAs are no longer required or permitted to fund any </w:t>
      </w:r>
      <w:r w:rsidR="00E20405">
        <w:rPr>
          <w:rFonts w:ascii="Arial" w:hAnsi="Arial" w:cs="Arial"/>
          <w:sz w:val="24"/>
          <w:szCs w:val="24"/>
        </w:rPr>
        <w:t>deficits</w:t>
      </w:r>
      <w:r w:rsidR="00876092" w:rsidRPr="00804FF5">
        <w:rPr>
          <w:rFonts w:ascii="Arial" w:hAnsi="Arial" w:cs="Arial"/>
          <w:sz w:val="24"/>
          <w:szCs w:val="24"/>
        </w:rPr>
        <w:t xml:space="preserve"> in relation to High Needs from general fund balances.</w:t>
      </w:r>
      <w:r w:rsidRPr="00804FF5">
        <w:rPr>
          <w:rFonts w:ascii="Arial" w:hAnsi="Arial" w:cs="Arial"/>
          <w:sz w:val="24"/>
          <w:szCs w:val="24"/>
        </w:rPr>
        <w:t xml:space="preserve"> </w:t>
      </w:r>
    </w:p>
    <w:p w14:paraId="57F30C49" w14:textId="77777777" w:rsidR="00E20405" w:rsidRPr="00E20405" w:rsidRDefault="00E20405" w:rsidP="00E20405">
      <w:pPr>
        <w:pStyle w:val="ListParagraph"/>
        <w:rPr>
          <w:rFonts w:ascii="Arial" w:hAnsi="Arial" w:cs="Arial"/>
          <w:sz w:val="24"/>
          <w:szCs w:val="24"/>
        </w:rPr>
      </w:pPr>
    </w:p>
    <w:p w14:paraId="32ED62C6" w14:textId="24D31526" w:rsidR="00E20405" w:rsidRDefault="00E20405" w:rsidP="00BE5F52">
      <w:pPr>
        <w:pStyle w:val="ListParagraph"/>
        <w:numPr>
          <w:ilvl w:val="0"/>
          <w:numId w:val="1"/>
        </w:numPr>
        <w:rPr>
          <w:rFonts w:ascii="Arial" w:hAnsi="Arial" w:cs="Arial"/>
          <w:sz w:val="24"/>
          <w:szCs w:val="24"/>
        </w:rPr>
      </w:pPr>
      <w:proofErr w:type="gramStart"/>
      <w:r>
        <w:rPr>
          <w:rFonts w:ascii="Arial" w:hAnsi="Arial" w:cs="Arial"/>
          <w:sz w:val="24"/>
          <w:szCs w:val="24"/>
        </w:rPr>
        <w:t>However</w:t>
      </w:r>
      <w:proofErr w:type="gramEnd"/>
      <w:r>
        <w:rPr>
          <w:rFonts w:ascii="Arial" w:hAnsi="Arial" w:cs="Arial"/>
          <w:sz w:val="24"/>
          <w:szCs w:val="24"/>
        </w:rPr>
        <w:t xml:space="preserve"> it has since come to light that this ringfence is temporary for three years and as such from 2023-24 LAs must demonstrate that they have enough reserves to cover deficit balances.</w:t>
      </w:r>
    </w:p>
    <w:p w14:paraId="4F3F251D" w14:textId="77777777" w:rsidR="00E20405" w:rsidRPr="00E20405" w:rsidRDefault="00E20405" w:rsidP="00E20405">
      <w:pPr>
        <w:pStyle w:val="ListParagraph"/>
        <w:rPr>
          <w:rFonts w:ascii="Arial" w:hAnsi="Arial" w:cs="Arial"/>
          <w:sz w:val="24"/>
          <w:szCs w:val="24"/>
        </w:rPr>
      </w:pPr>
    </w:p>
    <w:p w14:paraId="7527B310" w14:textId="55405480" w:rsidR="00F44124" w:rsidRPr="00804FF5" w:rsidRDefault="00F44124" w:rsidP="00BE5F52">
      <w:pPr>
        <w:pStyle w:val="ListParagraph"/>
        <w:numPr>
          <w:ilvl w:val="0"/>
          <w:numId w:val="1"/>
        </w:numPr>
        <w:rPr>
          <w:rFonts w:ascii="Arial" w:hAnsi="Arial" w:cs="Arial"/>
          <w:sz w:val="24"/>
          <w:szCs w:val="24"/>
        </w:rPr>
      </w:pPr>
      <w:r w:rsidRPr="00804FF5">
        <w:rPr>
          <w:rFonts w:ascii="Arial" w:hAnsi="Arial" w:cs="Arial"/>
          <w:sz w:val="24"/>
          <w:szCs w:val="24"/>
        </w:rPr>
        <w:t>Any changes to SEND funding or provision for young people would be subject to consultation with relevant stakeholders.</w:t>
      </w:r>
    </w:p>
    <w:p w14:paraId="0F0D6D51" w14:textId="77777777" w:rsidR="00E24734" w:rsidRPr="00245CF9" w:rsidRDefault="00E24734" w:rsidP="00E24734">
      <w:pPr>
        <w:pStyle w:val="ListParagraph"/>
        <w:rPr>
          <w:rFonts w:ascii="Arial" w:hAnsi="Arial" w:cs="Arial"/>
          <w:sz w:val="24"/>
          <w:szCs w:val="24"/>
        </w:rPr>
      </w:pPr>
    </w:p>
    <w:p w14:paraId="4884FB44" w14:textId="77777777" w:rsidR="00245CF9" w:rsidRPr="00245CF9" w:rsidRDefault="00E24734" w:rsidP="00245CF9">
      <w:pPr>
        <w:pStyle w:val="ListParagraph"/>
        <w:numPr>
          <w:ilvl w:val="0"/>
          <w:numId w:val="1"/>
        </w:numPr>
        <w:rPr>
          <w:rFonts w:ascii="Arial" w:hAnsi="Arial" w:cs="Arial"/>
          <w:sz w:val="24"/>
          <w:szCs w:val="24"/>
        </w:rPr>
      </w:pPr>
      <w:bookmarkStart w:id="0" w:name="_Hlk55570201"/>
      <w:r w:rsidRPr="00245CF9">
        <w:rPr>
          <w:rFonts w:ascii="Arial" w:hAnsi="Arial" w:cs="Arial"/>
          <w:sz w:val="24"/>
          <w:szCs w:val="24"/>
        </w:rPr>
        <w:t xml:space="preserve">The LA brought the </w:t>
      </w:r>
      <w:r w:rsidR="00151582" w:rsidRPr="00245CF9">
        <w:rPr>
          <w:rFonts w:ascii="Arial" w:hAnsi="Arial" w:cs="Arial"/>
          <w:sz w:val="24"/>
          <w:szCs w:val="24"/>
        </w:rPr>
        <w:t xml:space="preserve">updated </w:t>
      </w:r>
      <w:r w:rsidRPr="00245CF9">
        <w:rPr>
          <w:rFonts w:ascii="Arial" w:hAnsi="Arial" w:cs="Arial"/>
          <w:sz w:val="24"/>
          <w:szCs w:val="24"/>
        </w:rPr>
        <w:t xml:space="preserve">DSG Deficit </w:t>
      </w:r>
      <w:r w:rsidR="00151582" w:rsidRPr="00245CF9">
        <w:rPr>
          <w:rFonts w:ascii="Arial" w:hAnsi="Arial" w:cs="Arial"/>
          <w:sz w:val="24"/>
          <w:szCs w:val="24"/>
        </w:rPr>
        <w:t>Management</w:t>
      </w:r>
      <w:r w:rsidRPr="00245CF9">
        <w:rPr>
          <w:rFonts w:ascii="Arial" w:hAnsi="Arial" w:cs="Arial"/>
          <w:sz w:val="24"/>
          <w:szCs w:val="24"/>
        </w:rPr>
        <w:t xml:space="preserve"> Plan</w:t>
      </w:r>
      <w:r w:rsidR="00B71E9C" w:rsidRPr="00245CF9">
        <w:rPr>
          <w:rFonts w:ascii="Arial" w:hAnsi="Arial" w:cs="Arial"/>
          <w:sz w:val="24"/>
          <w:szCs w:val="24"/>
        </w:rPr>
        <w:t xml:space="preserve"> (D</w:t>
      </w:r>
      <w:r w:rsidR="00151582" w:rsidRPr="00245CF9">
        <w:rPr>
          <w:rFonts w:ascii="Arial" w:hAnsi="Arial" w:cs="Arial"/>
          <w:sz w:val="24"/>
          <w:szCs w:val="24"/>
        </w:rPr>
        <w:t>M</w:t>
      </w:r>
      <w:r w:rsidR="00B71E9C" w:rsidRPr="00245CF9">
        <w:rPr>
          <w:rFonts w:ascii="Arial" w:hAnsi="Arial" w:cs="Arial"/>
          <w:sz w:val="24"/>
          <w:szCs w:val="24"/>
        </w:rPr>
        <w:t>P)</w:t>
      </w:r>
      <w:r w:rsidRPr="00245CF9">
        <w:rPr>
          <w:rFonts w:ascii="Arial" w:hAnsi="Arial" w:cs="Arial"/>
          <w:sz w:val="24"/>
          <w:szCs w:val="24"/>
        </w:rPr>
        <w:t xml:space="preserve"> to Schools Forum in </w:t>
      </w:r>
      <w:r w:rsidR="00151582" w:rsidRPr="00245CF9">
        <w:rPr>
          <w:rFonts w:ascii="Arial" w:hAnsi="Arial" w:cs="Arial"/>
          <w:sz w:val="24"/>
          <w:szCs w:val="24"/>
        </w:rPr>
        <w:t>May 2021.</w:t>
      </w:r>
      <w:bookmarkEnd w:id="0"/>
    </w:p>
    <w:p w14:paraId="30A837F8" w14:textId="77777777" w:rsidR="00245CF9" w:rsidRPr="00245CF9" w:rsidRDefault="00245CF9" w:rsidP="00245CF9">
      <w:pPr>
        <w:pStyle w:val="ListParagraph"/>
        <w:rPr>
          <w:rFonts w:ascii="Arial" w:hAnsi="Arial" w:cs="Arial"/>
          <w:sz w:val="24"/>
          <w:szCs w:val="24"/>
        </w:rPr>
      </w:pPr>
    </w:p>
    <w:p w14:paraId="3DB5B5C1" w14:textId="66E3E978" w:rsidR="00245CF9" w:rsidRPr="00245CF9" w:rsidRDefault="00245CF9" w:rsidP="00245CF9">
      <w:pPr>
        <w:pStyle w:val="ListParagraph"/>
        <w:numPr>
          <w:ilvl w:val="0"/>
          <w:numId w:val="1"/>
        </w:numPr>
        <w:rPr>
          <w:rFonts w:ascii="Arial" w:hAnsi="Arial" w:cs="Arial"/>
          <w:color w:val="FF0000"/>
          <w:sz w:val="24"/>
          <w:szCs w:val="24"/>
        </w:rPr>
      </w:pPr>
      <w:proofErr w:type="gramStart"/>
      <w:r>
        <w:rPr>
          <w:rFonts w:ascii="Arial" w:hAnsi="Arial" w:cs="Arial"/>
          <w:sz w:val="24"/>
          <w:szCs w:val="24"/>
        </w:rPr>
        <w:t>However</w:t>
      </w:r>
      <w:proofErr w:type="gramEnd"/>
      <w:r>
        <w:rPr>
          <w:rFonts w:ascii="Arial" w:hAnsi="Arial" w:cs="Arial"/>
          <w:sz w:val="24"/>
          <w:szCs w:val="24"/>
        </w:rPr>
        <w:t xml:space="preserve"> the plan demonstrates that t</w:t>
      </w:r>
      <w:r w:rsidRPr="00245CF9">
        <w:rPr>
          <w:rFonts w:ascii="Arial" w:hAnsi="Arial" w:cs="Arial"/>
          <w:sz w:val="24"/>
          <w:szCs w:val="24"/>
        </w:rPr>
        <w:t>he measure</w:t>
      </w:r>
      <w:r>
        <w:rPr>
          <w:rFonts w:ascii="Arial" w:hAnsi="Arial" w:cs="Arial"/>
          <w:sz w:val="24"/>
          <w:szCs w:val="24"/>
        </w:rPr>
        <w:t>s</w:t>
      </w:r>
      <w:r w:rsidRPr="00245CF9">
        <w:rPr>
          <w:rFonts w:ascii="Arial" w:hAnsi="Arial" w:cs="Arial"/>
          <w:sz w:val="24"/>
          <w:szCs w:val="24"/>
        </w:rPr>
        <w:t xml:space="preserve"> we have in place to develop new provision in the scheme of the deficit make a relatively small impact.</w:t>
      </w:r>
    </w:p>
    <w:p w14:paraId="7F0A8440" w14:textId="77777777" w:rsidR="00245CF9" w:rsidRPr="00245CF9" w:rsidRDefault="00245CF9" w:rsidP="00245CF9">
      <w:pPr>
        <w:pStyle w:val="ListParagraph"/>
        <w:rPr>
          <w:rFonts w:ascii="Arial" w:hAnsi="Arial" w:cs="Arial"/>
          <w:sz w:val="24"/>
          <w:szCs w:val="24"/>
        </w:rPr>
      </w:pPr>
    </w:p>
    <w:p w14:paraId="30716356" w14:textId="77777777" w:rsidR="00245CF9" w:rsidRPr="00245CF9" w:rsidRDefault="00245CF9" w:rsidP="00245CF9">
      <w:pPr>
        <w:pStyle w:val="ListParagraph"/>
        <w:numPr>
          <w:ilvl w:val="0"/>
          <w:numId w:val="1"/>
        </w:numPr>
        <w:rPr>
          <w:rFonts w:ascii="Arial" w:hAnsi="Arial" w:cs="Arial"/>
          <w:color w:val="FF0000"/>
          <w:sz w:val="24"/>
          <w:szCs w:val="24"/>
        </w:rPr>
      </w:pPr>
      <w:r w:rsidRPr="00245CF9">
        <w:rPr>
          <w:rFonts w:ascii="Arial" w:hAnsi="Arial" w:cs="Arial"/>
          <w:sz w:val="24"/>
          <w:szCs w:val="24"/>
        </w:rPr>
        <w:t xml:space="preserve">Further measures to increase resourced provision or adapt established resourced provision for secondary age pupils are limited and will not eliminate the deficit. </w:t>
      </w:r>
    </w:p>
    <w:p w14:paraId="08FCB116" w14:textId="77777777" w:rsidR="00245CF9" w:rsidRPr="00245CF9" w:rsidRDefault="00245CF9" w:rsidP="00245CF9">
      <w:pPr>
        <w:pStyle w:val="ListParagraph"/>
        <w:rPr>
          <w:rFonts w:ascii="Arial" w:hAnsi="Arial" w:cs="Arial"/>
          <w:sz w:val="24"/>
          <w:szCs w:val="24"/>
        </w:rPr>
      </w:pPr>
    </w:p>
    <w:p w14:paraId="5EA3D771" w14:textId="77777777" w:rsidR="00245CF9" w:rsidRPr="00245CF9" w:rsidRDefault="00245CF9" w:rsidP="00245CF9">
      <w:pPr>
        <w:pStyle w:val="ListParagraph"/>
        <w:numPr>
          <w:ilvl w:val="0"/>
          <w:numId w:val="1"/>
        </w:numPr>
        <w:rPr>
          <w:rFonts w:ascii="Arial" w:hAnsi="Arial" w:cs="Arial"/>
          <w:color w:val="FF0000"/>
          <w:sz w:val="24"/>
          <w:szCs w:val="24"/>
        </w:rPr>
      </w:pPr>
      <w:r w:rsidRPr="00245CF9">
        <w:rPr>
          <w:rFonts w:ascii="Arial" w:hAnsi="Arial" w:cs="Arial"/>
          <w:sz w:val="24"/>
          <w:szCs w:val="24"/>
        </w:rPr>
        <w:t>Plans to progress any increase in provision will continue however the evidence supports the emphasis has to be on partnership working between the LA and mainstream schools and how we collectively support our mainstream schools to be more inclusive and our special schools to meet the needs of children with the greatest complexity of need.</w:t>
      </w:r>
    </w:p>
    <w:p w14:paraId="4E8CE4F0" w14:textId="77777777" w:rsidR="00245CF9" w:rsidRPr="00245CF9" w:rsidRDefault="00245CF9" w:rsidP="00245CF9">
      <w:pPr>
        <w:pStyle w:val="ListParagraph"/>
        <w:rPr>
          <w:rFonts w:ascii="Arial" w:hAnsi="Arial" w:cs="Arial"/>
          <w:sz w:val="24"/>
          <w:szCs w:val="24"/>
        </w:rPr>
      </w:pPr>
    </w:p>
    <w:p w14:paraId="4E286919" w14:textId="77777777" w:rsidR="00245CF9" w:rsidRPr="00245CF9" w:rsidRDefault="00245CF9" w:rsidP="00245CF9">
      <w:pPr>
        <w:pStyle w:val="ListParagraph"/>
        <w:numPr>
          <w:ilvl w:val="0"/>
          <w:numId w:val="1"/>
        </w:numPr>
        <w:rPr>
          <w:rFonts w:ascii="Arial" w:hAnsi="Arial" w:cs="Arial"/>
          <w:color w:val="FF0000"/>
          <w:sz w:val="24"/>
          <w:szCs w:val="24"/>
        </w:rPr>
      </w:pPr>
      <w:r w:rsidRPr="00245CF9">
        <w:rPr>
          <w:rFonts w:ascii="Arial" w:hAnsi="Arial" w:cs="Arial"/>
          <w:sz w:val="24"/>
          <w:szCs w:val="24"/>
        </w:rPr>
        <w:t>In the long term the whole system shift is much more a cultural shift.</w:t>
      </w:r>
    </w:p>
    <w:p w14:paraId="7F54BD8B" w14:textId="77777777" w:rsidR="00245CF9" w:rsidRPr="00245CF9" w:rsidRDefault="00245CF9" w:rsidP="00245CF9">
      <w:pPr>
        <w:pStyle w:val="ListParagraph"/>
        <w:rPr>
          <w:rFonts w:ascii="Arial" w:hAnsi="Arial" w:cs="Arial"/>
          <w:sz w:val="24"/>
          <w:szCs w:val="24"/>
        </w:rPr>
      </w:pPr>
    </w:p>
    <w:p w14:paraId="679F45AF" w14:textId="77777777" w:rsidR="00245CF9" w:rsidRPr="00245CF9" w:rsidRDefault="00245CF9" w:rsidP="00245CF9">
      <w:pPr>
        <w:pStyle w:val="ListParagraph"/>
        <w:numPr>
          <w:ilvl w:val="0"/>
          <w:numId w:val="1"/>
        </w:numPr>
        <w:rPr>
          <w:rFonts w:ascii="Arial" w:hAnsi="Arial" w:cs="Arial"/>
          <w:color w:val="FF0000"/>
          <w:sz w:val="24"/>
          <w:szCs w:val="24"/>
        </w:rPr>
      </w:pPr>
      <w:r w:rsidRPr="00245CF9">
        <w:rPr>
          <w:rFonts w:ascii="Arial" w:hAnsi="Arial" w:cs="Arial"/>
          <w:sz w:val="24"/>
          <w:szCs w:val="24"/>
        </w:rPr>
        <w:t xml:space="preserve">There is no single solution or quick win to reduce the DSG deficit.  Over  the long term we need to consistently develop and remodel the early intervention offer to mainstream settings, clearly map what is available to support inclusion of pupils with SEND and in partnership with schools develop, operate, and embed a clear and consistent graduated response. </w:t>
      </w:r>
    </w:p>
    <w:p w14:paraId="6441399E" w14:textId="77777777" w:rsidR="00245CF9" w:rsidRPr="00245CF9" w:rsidRDefault="00245CF9" w:rsidP="00245CF9">
      <w:pPr>
        <w:pStyle w:val="ListParagraph"/>
        <w:rPr>
          <w:rFonts w:ascii="Arial" w:hAnsi="Arial" w:cs="Arial"/>
          <w:sz w:val="24"/>
          <w:szCs w:val="24"/>
        </w:rPr>
      </w:pPr>
    </w:p>
    <w:p w14:paraId="28A25E18" w14:textId="584B9BA7" w:rsidR="00245CF9" w:rsidRPr="003C4803" w:rsidRDefault="00245CF9" w:rsidP="00245CF9">
      <w:pPr>
        <w:pStyle w:val="ListParagraph"/>
        <w:numPr>
          <w:ilvl w:val="0"/>
          <w:numId w:val="1"/>
        </w:numPr>
        <w:rPr>
          <w:rFonts w:ascii="Arial" w:hAnsi="Arial" w:cs="Arial"/>
          <w:sz w:val="24"/>
          <w:szCs w:val="24"/>
        </w:rPr>
      </w:pPr>
      <w:r w:rsidRPr="00245CF9">
        <w:rPr>
          <w:rFonts w:ascii="Arial" w:hAnsi="Arial" w:cs="Arial"/>
          <w:sz w:val="24"/>
          <w:szCs w:val="24"/>
        </w:rPr>
        <w:t xml:space="preserve">Working within the funds allocated by central government collaboration, prevention, and inclusion as a cross cutting priority across the LA, schools, Health, and other partners in order to develop a long-term sustainable view of </w:t>
      </w:r>
      <w:r w:rsidRPr="003C4803">
        <w:rPr>
          <w:rFonts w:ascii="Arial" w:hAnsi="Arial" w:cs="Arial"/>
          <w:sz w:val="24"/>
          <w:szCs w:val="24"/>
        </w:rPr>
        <w:t xml:space="preserve">Harrow’s provision. </w:t>
      </w:r>
    </w:p>
    <w:p w14:paraId="0A636F08" w14:textId="77777777" w:rsidR="00245CF9" w:rsidRPr="003C4803" w:rsidRDefault="00245CF9" w:rsidP="00F44124">
      <w:pPr>
        <w:pStyle w:val="ListParagraph"/>
        <w:ind w:left="1440"/>
        <w:rPr>
          <w:rFonts w:ascii="Arial" w:hAnsi="Arial" w:cs="Arial"/>
          <w:sz w:val="24"/>
          <w:szCs w:val="24"/>
        </w:rPr>
      </w:pPr>
    </w:p>
    <w:p w14:paraId="6DCAB4B3" w14:textId="30779108" w:rsidR="00910813" w:rsidRPr="003C4803" w:rsidRDefault="00E24734" w:rsidP="00BE5F52">
      <w:pPr>
        <w:pStyle w:val="ListParagraph"/>
        <w:numPr>
          <w:ilvl w:val="0"/>
          <w:numId w:val="1"/>
        </w:numPr>
        <w:rPr>
          <w:rFonts w:ascii="Arial" w:hAnsi="Arial" w:cs="Arial"/>
          <w:sz w:val="24"/>
          <w:szCs w:val="24"/>
        </w:rPr>
      </w:pPr>
      <w:r w:rsidRPr="003C4803">
        <w:rPr>
          <w:rFonts w:ascii="Arial" w:hAnsi="Arial" w:cs="Arial"/>
          <w:sz w:val="24"/>
          <w:szCs w:val="24"/>
        </w:rPr>
        <w:t xml:space="preserve">The </w:t>
      </w:r>
      <w:r w:rsidR="00876092" w:rsidRPr="003C4803">
        <w:rPr>
          <w:rFonts w:ascii="Arial" w:hAnsi="Arial" w:cs="Arial"/>
          <w:sz w:val="24"/>
          <w:szCs w:val="24"/>
        </w:rPr>
        <w:t>20</w:t>
      </w:r>
      <w:r w:rsidR="003C4803" w:rsidRPr="003C4803">
        <w:rPr>
          <w:rFonts w:ascii="Arial" w:hAnsi="Arial" w:cs="Arial"/>
          <w:sz w:val="24"/>
          <w:szCs w:val="24"/>
        </w:rPr>
        <w:t>21-22</w:t>
      </w:r>
      <w:r w:rsidR="00910813" w:rsidRPr="003C4803">
        <w:rPr>
          <w:rFonts w:ascii="Arial" w:hAnsi="Arial" w:cs="Arial"/>
          <w:sz w:val="24"/>
          <w:szCs w:val="24"/>
        </w:rPr>
        <w:t xml:space="preserve"> High Needs Block is set out at </w:t>
      </w:r>
      <w:r w:rsidR="003C4803" w:rsidRPr="003C4803">
        <w:rPr>
          <w:rFonts w:ascii="Arial" w:hAnsi="Arial" w:cs="Arial"/>
          <w:sz w:val="24"/>
          <w:szCs w:val="24"/>
        </w:rPr>
        <w:t>the table</w:t>
      </w:r>
      <w:r w:rsidR="00910813" w:rsidRPr="003C4803">
        <w:rPr>
          <w:rFonts w:ascii="Arial" w:hAnsi="Arial" w:cs="Arial"/>
          <w:sz w:val="24"/>
          <w:szCs w:val="24"/>
        </w:rPr>
        <w:t xml:space="preserve"> below which includes the budget, forecast spend, variance an</w:t>
      </w:r>
      <w:r w:rsidRPr="003C4803">
        <w:rPr>
          <w:rFonts w:ascii="Arial" w:hAnsi="Arial" w:cs="Arial"/>
          <w:sz w:val="24"/>
          <w:szCs w:val="24"/>
        </w:rPr>
        <w:t xml:space="preserve">d includes the </w:t>
      </w:r>
      <w:r w:rsidR="00910813" w:rsidRPr="003C4803">
        <w:rPr>
          <w:rFonts w:ascii="Arial" w:hAnsi="Arial" w:cs="Arial"/>
          <w:sz w:val="24"/>
          <w:szCs w:val="24"/>
        </w:rPr>
        <w:t xml:space="preserve">number of pupils in both </w:t>
      </w:r>
      <w:r w:rsidR="009A308C" w:rsidRPr="003C4803">
        <w:rPr>
          <w:rFonts w:ascii="Arial" w:hAnsi="Arial" w:cs="Arial"/>
          <w:sz w:val="24"/>
          <w:szCs w:val="24"/>
        </w:rPr>
        <w:t>20</w:t>
      </w:r>
      <w:r w:rsidR="003C4803" w:rsidRPr="003C4803">
        <w:rPr>
          <w:rFonts w:ascii="Arial" w:hAnsi="Arial" w:cs="Arial"/>
          <w:sz w:val="24"/>
          <w:szCs w:val="24"/>
        </w:rPr>
        <w:t>20-21</w:t>
      </w:r>
      <w:r w:rsidR="00910813" w:rsidRPr="003C4803">
        <w:rPr>
          <w:rFonts w:ascii="Arial" w:hAnsi="Arial" w:cs="Arial"/>
          <w:sz w:val="24"/>
          <w:szCs w:val="24"/>
        </w:rPr>
        <w:t xml:space="preserve"> and </w:t>
      </w:r>
      <w:r w:rsidRPr="003C4803">
        <w:rPr>
          <w:rFonts w:ascii="Arial" w:hAnsi="Arial" w:cs="Arial"/>
          <w:sz w:val="24"/>
          <w:szCs w:val="24"/>
        </w:rPr>
        <w:t xml:space="preserve">estimated </w:t>
      </w:r>
      <w:r w:rsidR="00910813" w:rsidRPr="003C4803">
        <w:rPr>
          <w:rFonts w:ascii="Arial" w:hAnsi="Arial" w:cs="Arial"/>
          <w:sz w:val="24"/>
          <w:szCs w:val="24"/>
        </w:rPr>
        <w:t>20</w:t>
      </w:r>
      <w:r w:rsidR="009A308C" w:rsidRPr="003C4803">
        <w:rPr>
          <w:rFonts w:ascii="Arial" w:hAnsi="Arial" w:cs="Arial"/>
          <w:sz w:val="24"/>
          <w:szCs w:val="24"/>
        </w:rPr>
        <w:t>2</w:t>
      </w:r>
      <w:r w:rsidR="003C4803" w:rsidRPr="003C4803">
        <w:rPr>
          <w:rFonts w:ascii="Arial" w:hAnsi="Arial" w:cs="Arial"/>
          <w:sz w:val="24"/>
          <w:szCs w:val="24"/>
        </w:rPr>
        <w:t>1-22</w:t>
      </w:r>
      <w:r w:rsidR="00910813" w:rsidRPr="003C4803">
        <w:rPr>
          <w:rFonts w:ascii="Arial" w:hAnsi="Arial" w:cs="Arial"/>
          <w:sz w:val="24"/>
          <w:szCs w:val="24"/>
        </w:rPr>
        <w:t>.</w:t>
      </w:r>
    </w:p>
    <w:p w14:paraId="1483313D" w14:textId="77777777" w:rsidR="00910813" w:rsidRPr="00DB2126" w:rsidRDefault="00910813" w:rsidP="00910813">
      <w:pPr>
        <w:rPr>
          <w:rFonts w:ascii="Arial" w:hAnsi="Arial" w:cs="Arial"/>
          <w:b/>
          <w:color w:val="FF0000"/>
          <w:sz w:val="24"/>
          <w:szCs w:val="24"/>
        </w:rPr>
        <w:sectPr w:rsidR="00910813" w:rsidRPr="00DB2126">
          <w:footerReference w:type="default" r:id="rId9"/>
          <w:pgSz w:w="11906" w:h="16838"/>
          <w:pgMar w:top="1440" w:right="1440" w:bottom="1440" w:left="1440" w:header="708" w:footer="708" w:gutter="0"/>
          <w:cols w:space="708"/>
          <w:docGrid w:linePitch="360"/>
        </w:sectPr>
      </w:pPr>
    </w:p>
    <w:p w14:paraId="0804AE88" w14:textId="2DA9A303" w:rsidR="002846B0" w:rsidRPr="00791DA8" w:rsidRDefault="002846B0" w:rsidP="002846B0">
      <w:pPr>
        <w:rPr>
          <w:rFonts w:ascii="Arial" w:hAnsi="Arial" w:cs="Arial"/>
          <w:b/>
          <w:sz w:val="24"/>
          <w:szCs w:val="24"/>
        </w:rPr>
      </w:pPr>
      <w:r w:rsidRPr="00791DA8">
        <w:rPr>
          <w:rFonts w:ascii="Arial" w:hAnsi="Arial" w:cs="Arial"/>
          <w:b/>
          <w:sz w:val="24"/>
          <w:szCs w:val="24"/>
        </w:rPr>
        <w:lastRenderedPageBreak/>
        <w:t xml:space="preserve">High Needs Block </w:t>
      </w:r>
      <w:r w:rsidR="007A6353" w:rsidRPr="00791DA8">
        <w:rPr>
          <w:rFonts w:ascii="Arial" w:hAnsi="Arial" w:cs="Arial"/>
          <w:b/>
          <w:sz w:val="24"/>
          <w:szCs w:val="24"/>
        </w:rPr>
        <w:t xml:space="preserve">Forecast </w:t>
      </w:r>
      <w:r w:rsidR="009A308C" w:rsidRPr="00791DA8">
        <w:rPr>
          <w:rFonts w:ascii="Arial" w:hAnsi="Arial" w:cs="Arial"/>
          <w:b/>
          <w:sz w:val="24"/>
          <w:szCs w:val="24"/>
        </w:rPr>
        <w:t>202</w:t>
      </w:r>
      <w:r w:rsidR="007A6353" w:rsidRPr="00791DA8">
        <w:rPr>
          <w:rFonts w:ascii="Arial" w:hAnsi="Arial" w:cs="Arial"/>
          <w:b/>
          <w:sz w:val="24"/>
          <w:szCs w:val="24"/>
        </w:rPr>
        <w:t>1</w:t>
      </w:r>
      <w:r w:rsidR="009A308C" w:rsidRPr="00791DA8">
        <w:rPr>
          <w:rFonts w:ascii="Arial" w:hAnsi="Arial" w:cs="Arial"/>
          <w:b/>
          <w:sz w:val="24"/>
          <w:szCs w:val="24"/>
        </w:rPr>
        <w:t>-2</w:t>
      </w:r>
      <w:r w:rsidR="007A6353" w:rsidRPr="00791DA8">
        <w:rPr>
          <w:rFonts w:ascii="Arial" w:hAnsi="Arial" w:cs="Arial"/>
          <w:b/>
          <w:sz w:val="24"/>
          <w:szCs w:val="24"/>
        </w:rPr>
        <w:t>2</w:t>
      </w:r>
      <w:r w:rsidR="009A308C" w:rsidRPr="00791DA8">
        <w:rPr>
          <w:rFonts w:ascii="Arial" w:hAnsi="Arial" w:cs="Arial"/>
          <w:b/>
          <w:sz w:val="24"/>
          <w:szCs w:val="24"/>
        </w:rPr>
        <w:t xml:space="preserve"> Quarter </w:t>
      </w:r>
      <w:r w:rsidR="007579ED">
        <w:rPr>
          <w:rFonts w:ascii="Arial" w:hAnsi="Arial" w:cs="Arial"/>
          <w:b/>
          <w:sz w:val="24"/>
          <w:szCs w:val="24"/>
        </w:rPr>
        <w:t>2</w:t>
      </w:r>
    </w:p>
    <w:tbl>
      <w:tblPr>
        <w:tblStyle w:val="TableGrid"/>
        <w:tblW w:w="13948" w:type="dxa"/>
        <w:tblInd w:w="-5" w:type="dxa"/>
        <w:tblLook w:val="04A0" w:firstRow="1" w:lastRow="0" w:firstColumn="1" w:lastColumn="0" w:noHBand="0" w:noVBand="1"/>
      </w:tblPr>
      <w:tblGrid>
        <w:gridCol w:w="6448"/>
        <w:gridCol w:w="1402"/>
        <w:gridCol w:w="1134"/>
        <w:gridCol w:w="1134"/>
        <w:gridCol w:w="1125"/>
        <w:gridCol w:w="282"/>
        <w:gridCol w:w="1267"/>
        <w:gridCol w:w="1156"/>
      </w:tblGrid>
      <w:tr w:rsidR="00FC02AE" w:rsidRPr="007A6353" w14:paraId="0B136FA8" w14:textId="77777777" w:rsidTr="007A6353">
        <w:tc>
          <w:tcPr>
            <w:tcW w:w="6448" w:type="dxa"/>
            <w:tcBorders>
              <w:top w:val="single" w:sz="8" w:space="0" w:color="auto"/>
              <w:left w:val="single" w:sz="8" w:space="0" w:color="auto"/>
              <w:bottom w:val="single" w:sz="8" w:space="0" w:color="auto"/>
              <w:right w:val="single" w:sz="8" w:space="0" w:color="auto"/>
            </w:tcBorders>
            <w:shd w:val="clear" w:color="auto" w:fill="auto"/>
            <w:vAlign w:val="center"/>
          </w:tcPr>
          <w:p w14:paraId="36A841D1" w14:textId="77777777" w:rsidR="00FC02AE" w:rsidRPr="007A6353" w:rsidRDefault="00FC02AE" w:rsidP="00FC02AE">
            <w:pPr>
              <w:spacing w:after="0" w:line="240" w:lineRule="auto"/>
              <w:rPr>
                <w:rFonts w:ascii="Arial" w:hAnsi="Arial" w:cs="Arial"/>
                <w:b/>
                <w:bCs/>
              </w:rPr>
            </w:pPr>
            <w:bookmarkStart w:id="1" w:name="_Hlk80874286"/>
            <w:r w:rsidRPr="007A6353">
              <w:rPr>
                <w:rFonts w:ascii="Arial" w:hAnsi="Arial" w:cs="Arial"/>
              </w:rPr>
              <w:t> </w:t>
            </w:r>
            <w:r w:rsidRPr="007A6353">
              <w:rPr>
                <w:rFonts w:ascii="Arial" w:hAnsi="Arial" w:cs="Arial"/>
                <w:b/>
                <w:bCs/>
              </w:rPr>
              <w:t>Provision Type</w:t>
            </w:r>
          </w:p>
          <w:p w14:paraId="6FF1C16B" w14:textId="77777777" w:rsidR="00FC02AE" w:rsidRPr="007A6353" w:rsidRDefault="00FC02AE" w:rsidP="00FC02AE">
            <w:pPr>
              <w:spacing w:after="0" w:line="240" w:lineRule="auto"/>
              <w:rPr>
                <w:rFonts w:ascii="Arial" w:hAnsi="Arial" w:cs="Arial"/>
                <w:lang w:eastAsia="en-GB"/>
              </w:rPr>
            </w:pPr>
          </w:p>
        </w:tc>
        <w:tc>
          <w:tcPr>
            <w:tcW w:w="1402" w:type="dxa"/>
            <w:tcBorders>
              <w:top w:val="single" w:sz="8" w:space="0" w:color="auto"/>
              <w:left w:val="nil"/>
              <w:bottom w:val="single" w:sz="8" w:space="0" w:color="auto"/>
              <w:right w:val="single" w:sz="8" w:space="0" w:color="auto"/>
            </w:tcBorders>
            <w:shd w:val="clear" w:color="auto" w:fill="auto"/>
            <w:vAlign w:val="center"/>
          </w:tcPr>
          <w:p w14:paraId="2896258D" w14:textId="535774E8" w:rsidR="00FC02AE" w:rsidRPr="007A6353" w:rsidRDefault="00FC02AE" w:rsidP="00FC02AE">
            <w:pPr>
              <w:jc w:val="center"/>
              <w:rPr>
                <w:rFonts w:ascii="Arial" w:hAnsi="Arial" w:cs="Arial"/>
                <w:b/>
                <w:bCs/>
              </w:rPr>
            </w:pPr>
            <w:r w:rsidRPr="007A6353">
              <w:rPr>
                <w:rFonts w:ascii="Arial" w:hAnsi="Arial" w:cs="Arial"/>
                <w:b/>
                <w:bCs/>
              </w:rPr>
              <w:t>2021-22 Budget £’000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232B597B" w14:textId="09A104DF" w:rsidR="00FC02AE" w:rsidRPr="007A6353" w:rsidRDefault="00FC02AE" w:rsidP="007579ED">
            <w:pPr>
              <w:jc w:val="center"/>
              <w:rPr>
                <w:rFonts w:ascii="Arial" w:hAnsi="Arial" w:cs="Arial"/>
                <w:b/>
                <w:bCs/>
              </w:rPr>
            </w:pPr>
            <w:r w:rsidRPr="007A6353">
              <w:rPr>
                <w:rFonts w:ascii="Arial" w:hAnsi="Arial" w:cs="Arial"/>
                <w:b/>
                <w:bCs/>
              </w:rPr>
              <w:t>2021-22</w:t>
            </w:r>
            <w:r w:rsidR="007579ED">
              <w:rPr>
                <w:rFonts w:ascii="Arial" w:hAnsi="Arial" w:cs="Arial"/>
                <w:b/>
                <w:bCs/>
              </w:rPr>
              <w:t xml:space="preserve"> Q2 </w:t>
            </w:r>
            <w:r w:rsidRPr="007A6353">
              <w:rPr>
                <w:rFonts w:ascii="Arial" w:hAnsi="Arial" w:cs="Arial"/>
                <w:b/>
                <w:bCs/>
              </w:rPr>
              <w:t>Forecast £’000</w:t>
            </w:r>
          </w:p>
        </w:tc>
        <w:tc>
          <w:tcPr>
            <w:tcW w:w="1134" w:type="dxa"/>
            <w:tcBorders>
              <w:top w:val="single" w:sz="8" w:space="0" w:color="auto"/>
              <w:left w:val="nil"/>
              <w:bottom w:val="single" w:sz="8" w:space="0" w:color="auto"/>
              <w:right w:val="single" w:sz="8" w:space="0" w:color="auto"/>
            </w:tcBorders>
            <w:shd w:val="clear" w:color="auto" w:fill="auto"/>
            <w:vAlign w:val="center"/>
          </w:tcPr>
          <w:p w14:paraId="5114938E" w14:textId="37469579" w:rsidR="00FC02AE" w:rsidRPr="007A6353" w:rsidRDefault="00FC02AE" w:rsidP="00FC02AE">
            <w:pPr>
              <w:jc w:val="center"/>
              <w:rPr>
                <w:rFonts w:ascii="Arial" w:hAnsi="Arial" w:cs="Arial"/>
                <w:b/>
                <w:bCs/>
              </w:rPr>
            </w:pPr>
            <w:r w:rsidRPr="007A6353">
              <w:rPr>
                <w:rFonts w:ascii="Arial" w:hAnsi="Arial" w:cs="Arial"/>
                <w:b/>
                <w:bCs/>
              </w:rPr>
              <w:t>2021-22 Variance £’000</w:t>
            </w:r>
          </w:p>
        </w:tc>
        <w:tc>
          <w:tcPr>
            <w:tcW w:w="1125" w:type="dxa"/>
            <w:tcBorders>
              <w:top w:val="single" w:sz="8" w:space="0" w:color="auto"/>
              <w:left w:val="nil"/>
              <w:bottom w:val="single" w:sz="8" w:space="0" w:color="auto"/>
              <w:right w:val="single" w:sz="8" w:space="0" w:color="auto"/>
            </w:tcBorders>
            <w:shd w:val="clear" w:color="auto" w:fill="auto"/>
            <w:vAlign w:val="center"/>
          </w:tcPr>
          <w:p w14:paraId="1D6DA08E" w14:textId="77777777" w:rsidR="00FC02AE" w:rsidRPr="007A6353" w:rsidRDefault="00FC02AE" w:rsidP="00FC02AE">
            <w:pPr>
              <w:jc w:val="center"/>
              <w:rPr>
                <w:rFonts w:ascii="Arial" w:hAnsi="Arial" w:cs="Arial"/>
                <w:b/>
                <w:bCs/>
                <w:color w:val="FF0000"/>
              </w:rPr>
            </w:pPr>
            <w:r w:rsidRPr="00791DA8">
              <w:rPr>
                <w:rFonts w:ascii="Arial" w:hAnsi="Arial" w:cs="Arial"/>
                <w:b/>
                <w:bCs/>
              </w:rPr>
              <w:t>No. Pupils</w:t>
            </w:r>
          </w:p>
        </w:tc>
        <w:tc>
          <w:tcPr>
            <w:tcW w:w="282" w:type="dxa"/>
            <w:tcBorders>
              <w:top w:val="single" w:sz="8" w:space="0" w:color="auto"/>
              <w:left w:val="nil"/>
              <w:bottom w:val="single" w:sz="8" w:space="0" w:color="auto"/>
              <w:right w:val="single" w:sz="8" w:space="0" w:color="auto"/>
            </w:tcBorders>
            <w:shd w:val="clear" w:color="000000" w:fill="000000"/>
            <w:vAlign w:val="center"/>
          </w:tcPr>
          <w:p w14:paraId="11B525A1" w14:textId="77777777" w:rsidR="00FC02AE" w:rsidRPr="007A6353" w:rsidRDefault="00FC02AE" w:rsidP="00FC02AE">
            <w:pPr>
              <w:jc w:val="center"/>
              <w:rPr>
                <w:rFonts w:ascii="Arial" w:hAnsi="Arial" w:cs="Arial"/>
                <w:b/>
                <w:bCs/>
                <w:color w:val="FF0000"/>
              </w:rPr>
            </w:pPr>
            <w:r w:rsidRPr="007A6353">
              <w:rPr>
                <w:rFonts w:ascii="Arial" w:hAnsi="Arial" w:cs="Arial"/>
                <w:b/>
                <w:bCs/>
                <w:color w:val="FF0000"/>
              </w:rPr>
              <w:t> </w:t>
            </w:r>
          </w:p>
        </w:tc>
        <w:tc>
          <w:tcPr>
            <w:tcW w:w="1267" w:type="dxa"/>
            <w:tcBorders>
              <w:top w:val="single" w:sz="8" w:space="0" w:color="auto"/>
              <w:left w:val="nil"/>
              <w:bottom w:val="single" w:sz="8" w:space="0" w:color="auto"/>
              <w:right w:val="single" w:sz="8" w:space="0" w:color="auto"/>
            </w:tcBorders>
            <w:shd w:val="clear" w:color="auto" w:fill="auto"/>
            <w:vAlign w:val="center"/>
          </w:tcPr>
          <w:p w14:paraId="6D71543F" w14:textId="1CE38DC2" w:rsidR="00FC02AE" w:rsidRPr="007A6353" w:rsidRDefault="007579ED" w:rsidP="00FC02AE">
            <w:pPr>
              <w:jc w:val="center"/>
              <w:rPr>
                <w:rFonts w:ascii="Arial" w:hAnsi="Arial" w:cs="Arial"/>
                <w:b/>
                <w:bCs/>
                <w:color w:val="FF0000"/>
              </w:rPr>
            </w:pPr>
            <w:r>
              <w:rPr>
                <w:rFonts w:ascii="Arial" w:hAnsi="Arial" w:cs="Arial"/>
                <w:b/>
                <w:bCs/>
              </w:rPr>
              <w:t>2021-22 Q1</w:t>
            </w:r>
            <w:r w:rsidR="00FC02AE" w:rsidRPr="007A6353">
              <w:rPr>
                <w:rFonts w:ascii="Arial" w:hAnsi="Arial" w:cs="Arial"/>
                <w:b/>
                <w:bCs/>
              </w:rPr>
              <w:t xml:space="preserve"> </w:t>
            </w:r>
            <w:r>
              <w:rPr>
                <w:rFonts w:ascii="Arial" w:hAnsi="Arial" w:cs="Arial"/>
                <w:b/>
                <w:bCs/>
              </w:rPr>
              <w:t xml:space="preserve">Forecast </w:t>
            </w:r>
            <w:r w:rsidR="00FC02AE" w:rsidRPr="007A6353">
              <w:rPr>
                <w:rFonts w:ascii="Arial" w:hAnsi="Arial" w:cs="Arial"/>
                <w:b/>
                <w:bCs/>
              </w:rPr>
              <w:t>£’000</w:t>
            </w:r>
          </w:p>
        </w:tc>
        <w:tc>
          <w:tcPr>
            <w:tcW w:w="1156" w:type="dxa"/>
            <w:tcBorders>
              <w:top w:val="single" w:sz="8" w:space="0" w:color="auto"/>
              <w:left w:val="nil"/>
              <w:bottom w:val="single" w:sz="8" w:space="0" w:color="auto"/>
              <w:right w:val="single" w:sz="8" w:space="0" w:color="auto"/>
            </w:tcBorders>
            <w:shd w:val="clear" w:color="auto" w:fill="auto"/>
          </w:tcPr>
          <w:p w14:paraId="2FB9EF05" w14:textId="2B7F4AF0" w:rsidR="00FC02AE" w:rsidRPr="007A6353" w:rsidRDefault="007579ED" w:rsidP="00FC02AE">
            <w:pPr>
              <w:jc w:val="center"/>
              <w:rPr>
                <w:rFonts w:ascii="Arial" w:hAnsi="Arial" w:cs="Arial"/>
                <w:b/>
                <w:bCs/>
                <w:color w:val="FF0000"/>
              </w:rPr>
            </w:pPr>
            <w:r w:rsidRPr="00791DA8">
              <w:rPr>
                <w:rFonts w:ascii="Arial" w:hAnsi="Arial" w:cs="Arial"/>
                <w:b/>
                <w:bCs/>
              </w:rPr>
              <w:t>No. Pupils</w:t>
            </w:r>
          </w:p>
        </w:tc>
      </w:tr>
      <w:tr w:rsidR="00A13974" w:rsidRPr="007A6353" w14:paraId="4AAE15B9"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03AF3589" w14:textId="4B6425D3" w:rsidR="00A13974" w:rsidRPr="007A6353" w:rsidRDefault="00A13974" w:rsidP="00A13974">
            <w:pPr>
              <w:rPr>
                <w:rFonts w:ascii="Arial" w:hAnsi="Arial" w:cs="Arial"/>
                <w:color w:val="FF0000"/>
              </w:rPr>
            </w:pPr>
            <w:r w:rsidRPr="007A6353">
              <w:rPr>
                <w:rFonts w:ascii="Arial" w:hAnsi="Arial" w:cs="Arial"/>
              </w:rPr>
              <w:t>Independent &amp; NMSS Day &amp; Residential Provision</w:t>
            </w:r>
          </w:p>
        </w:tc>
        <w:tc>
          <w:tcPr>
            <w:tcW w:w="1402" w:type="dxa"/>
            <w:tcBorders>
              <w:top w:val="nil"/>
              <w:left w:val="nil"/>
              <w:bottom w:val="single" w:sz="8" w:space="0" w:color="auto"/>
              <w:right w:val="single" w:sz="8" w:space="0" w:color="auto"/>
            </w:tcBorders>
            <w:shd w:val="clear" w:color="auto" w:fill="auto"/>
          </w:tcPr>
          <w:p w14:paraId="73A57067" w14:textId="3E264541" w:rsidR="00A13974" w:rsidRPr="007A6353" w:rsidRDefault="00A13974" w:rsidP="00A13974">
            <w:pPr>
              <w:jc w:val="right"/>
              <w:rPr>
                <w:rFonts w:ascii="Arial" w:hAnsi="Arial" w:cs="Arial"/>
                <w:color w:val="FF0000"/>
              </w:rPr>
            </w:pPr>
            <w:r w:rsidRPr="007A6353">
              <w:rPr>
                <w:rFonts w:ascii="Arial" w:hAnsi="Arial" w:cs="Arial"/>
              </w:rPr>
              <w:t>£7,729</w:t>
            </w:r>
          </w:p>
        </w:tc>
        <w:tc>
          <w:tcPr>
            <w:tcW w:w="1134" w:type="dxa"/>
            <w:tcBorders>
              <w:top w:val="nil"/>
              <w:left w:val="nil"/>
              <w:bottom w:val="single" w:sz="8" w:space="0" w:color="auto"/>
              <w:right w:val="single" w:sz="8" w:space="0" w:color="auto"/>
            </w:tcBorders>
            <w:shd w:val="clear" w:color="auto" w:fill="auto"/>
          </w:tcPr>
          <w:p w14:paraId="2CD622FE" w14:textId="62E1A9E1" w:rsidR="00A13974" w:rsidRPr="00A13974" w:rsidRDefault="00A13974" w:rsidP="00A13974">
            <w:pPr>
              <w:jc w:val="right"/>
              <w:rPr>
                <w:rFonts w:ascii="Arial" w:hAnsi="Arial" w:cs="Arial"/>
                <w:color w:val="FF0000"/>
              </w:rPr>
            </w:pPr>
            <w:r w:rsidRPr="00A13974">
              <w:rPr>
                <w:rFonts w:ascii="Arial" w:hAnsi="Arial" w:cs="Arial"/>
              </w:rPr>
              <w:t>£7,701</w:t>
            </w:r>
          </w:p>
        </w:tc>
        <w:tc>
          <w:tcPr>
            <w:tcW w:w="1134" w:type="dxa"/>
            <w:tcBorders>
              <w:top w:val="nil"/>
              <w:left w:val="nil"/>
              <w:bottom w:val="single" w:sz="8" w:space="0" w:color="auto"/>
              <w:right w:val="single" w:sz="8" w:space="0" w:color="auto"/>
            </w:tcBorders>
            <w:shd w:val="clear" w:color="auto" w:fill="auto"/>
          </w:tcPr>
          <w:p w14:paraId="2E09429E" w14:textId="063F0EA2" w:rsidR="00A13974" w:rsidRPr="00A13974" w:rsidRDefault="00A13974" w:rsidP="00A13974">
            <w:pPr>
              <w:jc w:val="right"/>
              <w:rPr>
                <w:rFonts w:ascii="Arial" w:hAnsi="Arial" w:cs="Arial"/>
                <w:color w:val="FF0000"/>
              </w:rPr>
            </w:pPr>
            <w:r w:rsidRPr="00A13974">
              <w:rPr>
                <w:rFonts w:ascii="Arial" w:hAnsi="Arial" w:cs="Arial"/>
                <w:color w:val="FF0000"/>
              </w:rPr>
              <w:t>-£27</w:t>
            </w:r>
          </w:p>
        </w:tc>
        <w:tc>
          <w:tcPr>
            <w:tcW w:w="1125" w:type="dxa"/>
            <w:tcBorders>
              <w:top w:val="nil"/>
              <w:left w:val="nil"/>
              <w:bottom w:val="single" w:sz="8" w:space="0" w:color="auto"/>
              <w:right w:val="single" w:sz="8" w:space="0" w:color="auto"/>
            </w:tcBorders>
            <w:shd w:val="clear" w:color="auto" w:fill="auto"/>
          </w:tcPr>
          <w:p w14:paraId="344D60CB" w14:textId="6AE89C41" w:rsidR="00A13974" w:rsidRPr="0033344F" w:rsidRDefault="0033344F" w:rsidP="00A13974">
            <w:pPr>
              <w:jc w:val="right"/>
              <w:rPr>
                <w:rFonts w:ascii="Arial" w:hAnsi="Arial" w:cs="Arial"/>
              </w:rPr>
            </w:pPr>
            <w:r w:rsidRPr="0033344F">
              <w:rPr>
                <w:rFonts w:ascii="Arial" w:hAnsi="Arial" w:cs="Arial"/>
              </w:rPr>
              <w:t>158.57</w:t>
            </w:r>
          </w:p>
        </w:tc>
        <w:tc>
          <w:tcPr>
            <w:tcW w:w="282" w:type="dxa"/>
            <w:tcBorders>
              <w:top w:val="nil"/>
              <w:left w:val="nil"/>
              <w:bottom w:val="single" w:sz="8" w:space="0" w:color="auto"/>
              <w:right w:val="single" w:sz="8" w:space="0" w:color="auto"/>
            </w:tcBorders>
            <w:shd w:val="clear" w:color="000000" w:fill="000000"/>
            <w:vAlign w:val="center"/>
          </w:tcPr>
          <w:p w14:paraId="17872AD5" w14:textId="50E689DD"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3782F41D" w14:textId="37EE7FCD" w:rsidR="00A13974" w:rsidRPr="00832FFB" w:rsidRDefault="00A13974" w:rsidP="00A13974">
            <w:pPr>
              <w:jc w:val="right"/>
              <w:rPr>
                <w:rFonts w:ascii="Arial" w:hAnsi="Arial" w:cs="Arial"/>
                <w:color w:val="FF0000"/>
              </w:rPr>
            </w:pPr>
            <w:r w:rsidRPr="007A6353">
              <w:rPr>
                <w:rFonts w:ascii="Arial" w:hAnsi="Arial" w:cs="Arial"/>
              </w:rPr>
              <w:t>£7,729</w:t>
            </w:r>
          </w:p>
        </w:tc>
        <w:tc>
          <w:tcPr>
            <w:tcW w:w="1156" w:type="dxa"/>
            <w:tcBorders>
              <w:top w:val="nil"/>
              <w:left w:val="nil"/>
              <w:bottom w:val="single" w:sz="8" w:space="0" w:color="auto"/>
              <w:right w:val="single" w:sz="8" w:space="0" w:color="auto"/>
            </w:tcBorders>
            <w:shd w:val="clear" w:color="auto" w:fill="auto"/>
          </w:tcPr>
          <w:p w14:paraId="35DBC1FF" w14:textId="7AEF6B82" w:rsidR="00A13974" w:rsidRPr="00832FFB" w:rsidRDefault="00A13974" w:rsidP="00A13974">
            <w:pPr>
              <w:jc w:val="right"/>
              <w:rPr>
                <w:rFonts w:ascii="Arial" w:hAnsi="Arial" w:cs="Arial"/>
                <w:color w:val="FF0000"/>
              </w:rPr>
            </w:pPr>
            <w:r w:rsidRPr="00832FFB">
              <w:rPr>
                <w:rFonts w:ascii="Arial" w:hAnsi="Arial" w:cs="Arial"/>
              </w:rPr>
              <w:t>167.25</w:t>
            </w:r>
          </w:p>
        </w:tc>
      </w:tr>
      <w:tr w:rsidR="00A13974" w:rsidRPr="007A6353" w14:paraId="70015539"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13843BFE" w14:textId="501A97AB" w:rsidR="00A13974" w:rsidRPr="007A6353" w:rsidRDefault="00A13974" w:rsidP="00A13974">
            <w:pPr>
              <w:rPr>
                <w:rFonts w:ascii="Arial" w:hAnsi="Arial" w:cs="Arial"/>
                <w:color w:val="FF0000"/>
              </w:rPr>
            </w:pPr>
            <w:r w:rsidRPr="007A6353">
              <w:rPr>
                <w:rFonts w:ascii="Arial" w:hAnsi="Arial" w:cs="Arial"/>
              </w:rPr>
              <w:t>Harrow Special Schools</w:t>
            </w:r>
          </w:p>
        </w:tc>
        <w:tc>
          <w:tcPr>
            <w:tcW w:w="1402" w:type="dxa"/>
            <w:tcBorders>
              <w:top w:val="nil"/>
              <w:left w:val="nil"/>
              <w:bottom w:val="single" w:sz="8" w:space="0" w:color="auto"/>
              <w:right w:val="single" w:sz="8" w:space="0" w:color="auto"/>
            </w:tcBorders>
            <w:shd w:val="clear" w:color="auto" w:fill="auto"/>
          </w:tcPr>
          <w:p w14:paraId="52FE3452" w14:textId="108D212D" w:rsidR="00A13974" w:rsidRPr="007A6353" w:rsidRDefault="00A13974" w:rsidP="00A13974">
            <w:pPr>
              <w:jc w:val="right"/>
              <w:rPr>
                <w:rFonts w:ascii="Arial" w:hAnsi="Arial" w:cs="Arial"/>
                <w:color w:val="FF0000"/>
              </w:rPr>
            </w:pPr>
            <w:r w:rsidRPr="007A6353">
              <w:rPr>
                <w:rFonts w:ascii="Arial" w:hAnsi="Arial" w:cs="Arial"/>
              </w:rPr>
              <w:t>£11,957</w:t>
            </w:r>
          </w:p>
        </w:tc>
        <w:tc>
          <w:tcPr>
            <w:tcW w:w="1134" w:type="dxa"/>
            <w:tcBorders>
              <w:top w:val="nil"/>
              <w:left w:val="nil"/>
              <w:bottom w:val="single" w:sz="8" w:space="0" w:color="auto"/>
              <w:right w:val="single" w:sz="8" w:space="0" w:color="auto"/>
            </w:tcBorders>
            <w:shd w:val="clear" w:color="auto" w:fill="auto"/>
          </w:tcPr>
          <w:p w14:paraId="7D2A1EB4" w14:textId="3C2113ED" w:rsidR="00A13974" w:rsidRPr="00A13974" w:rsidRDefault="00A13974" w:rsidP="00A13974">
            <w:pPr>
              <w:jc w:val="right"/>
              <w:rPr>
                <w:rFonts w:ascii="Arial" w:hAnsi="Arial" w:cs="Arial"/>
                <w:color w:val="FF0000"/>
              </w:rPr>
            </w:pPr>
            <w:r w:rsidRPr="00A13974">
              <w:rPr>
                <w:rFonts w:ascii="Arial" w:hAnsi="Arial" w:cs="Arial"/>
              </w:rPr>
              <w:t>£11,940</w:t>
            </w:r>
          </w:p>
        </w:tc>
        <w:tc>
          <w:tcPr>
            <w:tcW w:w="1134" w:type="dxa"/>
            <w:tcBorders>
              <w:top w:val="nil"/>
              <w:left w:val="nil"/>
              <w:bottom w:val="single" w:sz="8" w:space="0" w:color="auto"/>
              <w:right w:val="single" w:sz="8" w:space="0" w:color="auto"/>
            </w:tcBorders>
            <w:shd w:val="clear" w:color="auto" w:fill="auto"/>
          </w:tcPr>
          <w:p w14:paraId="53E8D554" w14:textId="5C0631FA" w:rsidR="00A13974" w:rsidRPr="00A13974" w:rsidRDefault="00A13974" w:rsidP="00A13974">
            <w:pPr>
              <w:jc w:val="right"/>
              <w:rPr>
                <w:rFonts w:ascii="Arial" w:hAnsi="Arial" w:cs="Arial"/>
                <w:color w:val="FF0000"/>
              </w:rPr>
            </w:pPr>
            <w:r w:rsidRPr="00A13974">
              <w:rPr>
                <w:rFonts w:ascii="Arial" w:hAnsi="Arial" w:cs="Arial"/>
                <w:color w:val="FF0000"/>
              </w:rPr>
              <w:t>-£17</w:t>
            </w:r>
          </w:p>
        </w:tc>
        <w:tc>
          <w:tcPr>
            <w:tcW w:w="1125" w:type="dxa"/>
            <w:tcBorders>
              <w:top w:val="nil"/>
              <w:left w:val="nil"/>
              <w:bottom w:val="single" w:sz="8" w:space="0" w:color="auto"/>
              <w:right w:val="single" w:sz="8" w:space="0" w:color="auto"/>
            </w:tcBorders>
            <w:shd w:val="clear" w:color="auto" w:fill="auto"/>
          </w:tcPr>
          <w:p w14:paraId="264CCDC3" w14:textId="3DDAA318" w:rsidR="00A13974" w:rsidRPr="0033344F" w:rsidRDefault="0033344F" w:rsidP="00A13974">
            <w:pPr>
              <w:jc w:val="right"/>
              <w:rPr>
                <w:rFonts w:ascii="Arial" w:hAnsi="Arial" w:cs="Arial"/>
              </w:rPr>
            </w:pPr>
            <w:r w:rsidRPr="0033344F">
              <w:rPr>
                <w:rFonts w:ascii="Arial" w:hAnsi="Arial" w:cs="Arial"/>
              </w:rPr>
              <w:t>493.00</w:t>
            </w:r>
          </w:p>
        </w:tc>
        <w:tc>
          <w:tcPr>
            <w:tcW w:w="282" w:type="dxa"/>
            <w:tcBorders>
              <w:top w:val="nil"/>
              <w:left w:val="nil"/>
              <w:bottom w:val="single" w:sz="8" w:space="0" w:color="auto"/>
              <w:right w:val="single" w:sz="8" w:space="0" w:color="auto"/>
            </w:tcBorders>
            <w:shd w:val="clear" w:color="000000" w:fill="000000"/>
            <w:vAlign w:val="center"/>
          </w:tcPr>
          <w:p w14:paraId="6B7E67F0" w14:textId="7B02D9C2"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6B664192" w14:textId="2F2DA04A" w:rsidR="00A13974" w:rsidRPr="00832FFB" w:rsidRDefault="00A13974" w:rsidP="00A13974">
            <w:pPr>
              <w:jc w:val="right"/>
              <w:rPr>
                <w:rFonts w:ascii="Arial" w:hAnsi="Arial" w:cs="Arial"/>
                <w:color w:val="FF0000"/>
              </w:rPr>
            </w:pPr>
            <w:r w:rsidRPr="007A6353">
              <w:rPr>
                <w:rFonts w:ascii="Arial" w:hAnsi="Arial" w:cs="Arial"/>
              </w:rPr>
              <w:t>£11,957</w:t>
            </w:r>
          </w:p>
        </w:tc>
        <w:tc>
          <w:tcPr>
            <w:tcW w:w="1156" w:type="dxa"/>
            <w:tcBorders>
              <w:top w:val="nil"/>
              <w:left w:val="nil"/>
              <w:bottom w:val="single" w:sz="8" w:space="0" w:color="auto"/>
              <w:right w:val="single" w:sz="8" w:space="0" w:color="auto"/>
            </w:tcBorders>
            <w:shd w:val="clear" w:color="auto" w:fill="auto"/>
          </w:tcPr>
          <w:p w14:paraId="4CEE60B8" w14:textId="624EC080" w:rsidR="00A13974" w:rsidRPr="00832FFB" w:rsidRDefault="00A13974" w:rsidP="00A13974">
            <w:pPr>
              <w:jc w:val="right"/>
              <w:rPr>
                <w:rFonts w:ascii="Arial" w:hAnsi="Arial" w:cs="Arial"/>
                <w:color w:val="FF0000"/>
              </w:rPr>
            </w:pPr>
            <w:r w:rsidRPr="00832FFB">
              <w:rPr>
                <w:rFonts w:ascii="Arial" w:hAnsi="Arial" w:cs="Arial"/>
              </w:rPr>
              <w:t>493.00</w:t>
            </w:r>
          </w:p>
        </w:tc>
      </w:tr>
      <w:tr w:rsidR="00A13974" w:rsidRPr="007A6353" w14:paraId="2569BF62"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7E2F5880" w14:textId="5F771C47" w:rsidR="00A13974" w:rsidRPr="007A6353" w:rsidRDefault="00A13974" w:rsidP="00A13974">
            <w:pPr>
              <w:rPr>
                <w:rFonts w:ascii="Arial" w:hAnsi="Arial" w:cs="Arial"/>
                <w:color w:val="FF0000"/>
              </w:rPr>
            </w:pPr>
            <w:r w:rsidRPr="007A6353">
              <w:rPr>
                <w:rFonts w:ascii="Arial" w:hAnsi="Arial" w:cs="Arial"/>
              </w:rPr>
              <w:t>Other LA Special Schools</w:t>
            </w:r>
          </w:p>
        </w:tc>
        <w:tc>
          <w:tcPr>
            <w:tcW w:w="1402" w:type="dxa"/>
            <w:tcBorders>
              <w:top w:val="nil"/>
              <w:left w:val="nil"/>
              <w:bottom w:val="single" w:sz="8" w:space="0" w:color="auto"/>
              <w:right w:val="single" w:sz="8" w:space="0" w:color="auto"/>
            </w:tcBorders>
            <w:shd w:val="clear" w:color="auto" w:fill="auto"/>
          </w:tcPr>
          <w:p w14:paraId="79631CCF" w14:textId="2049BF17" w:rsidR="00A13974" w:rsidRPr="007A6353" w:rsidRDefault="00A13974" w:rsidP="00A13974">
            <w:pPr>
              <w:jc w:val="right"/>
              <w:rPr>
                <w:rFonts w:ascii="Arial" w:hAnsi="Arial" w:cs="Arial"/>
                <w:color w:val="FF0000"/>
              </w:rPr>
            </w:pPr>
            <w:r w:rsidRPr="007A6353">
              <w:rPr>
                <w:rFonts w:ascii="Arial" w:hAnsi="Arial" w:cs="Arial"/>
              </w:rPr>
              <w:t>£2,352</w:t>
            </w:r>
          </w:p>
        </w:tc>
        <w:tc>
          <w:tcPr>
            <w:tcW w:w="1134" w:type="dxa"/>
            <w:tcBorders>
              <w:top w:val="nil"/>
              <w:left w:val="nil"/>
              <w:bottom w:val="single" w:sz="8" w:space="0" w:color="auto"/>
              <w:right w:val="single" w:sz="8" w:space="0" w:color="auto"/>
            </w:tcBorders>
            <w:shd w:val="clear" w:color="auto" w:fill="auto"/>
          </w:tcPr>
          <w:p w14:paraId="6A552A35" w14:textId="74B83D93" w:rsidR="00A13974" w:rsidRPr="00A13974" w:rsidRDefault="00A13974" w:rsidP="00A13974">
            <w:pPr>
              <w:jc w:val="right"/>
              <w:rPr>
                <w:rFonts w:ascii="Arial" w:hAnsi="Arial" w:cs="Arial"/>
                <w:color w:val="FF0000"/>
              </w:rPr>
            </w:pPr>
            <w:r w:rsidRPr="00A13974">
              <w:rPr>
                <w:rFonts w:ascii="Arial" w:hAnsi="Arial" w:cs="Arial"/>
              </w:rPr>
              <w:t>£2,124</w:t>
            </w:r>
          </w:p>
        </w:tc>
        <w:tc>
          <w:tcPr>
            <w:tcW w:w="1134" w:type="dxa"/>
            <w:tcBorders>
              <w:top w:val="nil"/>
              <w:left w:val="nil"/>
              <w:bottom w:val="single" w:sz="8" w:space="0" w:color="auto"/>
              <w:right w:val="single" w:sz="8" w:space="0" w:color="auto"/>
            </w:tcBorders>
            <w:shd w:val="clear" w:color="auto" w:fill="auto"/>
          </w:tcPr>
          <w:p w14:paraId="60411A94" w14:textId="5B1F36F9" w:rsidR="00A13974" w:rsidRPr="00A13974" w:rsidRDefault="00A13974" w:rsidP="00A13974">
            <w:pPr>
              <w:jc w:val="right"/>
              <w:rPr>
                <w:rFonts w:ascii="Arial" w:hAnsi="Arial" w:cs="Arial"/>
                <w:color w:val="FF0000"/>
              </w:rPr>
            </w:pPr>
            <w:r w:rsidRPr="00A13974">
              <w:rPr>
                <w:rFonts w:ascii="Arial" w:hAnsi="Arial" w:cs="Arial"/>
                <w:color w:val="FF0000"/>
              </w:rPr>
              <w:t>-£229</w:t>
            </w:r>
          </w:p>
        </w:tc>
        <w:tc>
          <w:tcPr>
            <w:tcW w:w="1125" w:type="dxa"/>
            <w:tcBorders>
              <w:top w:val="nil"/>
              <w:left w:val="nil"/>
              <w:bottom w:val="single" w:sz="8" w:space="0" w:color="auto"/>
              <w:right w:val="single" w:sz="8" w:space="0" w:color="auto"/>
            </w:tcBorders>
            <w:shd w:val="clear" w:color="auto" w:fill="auto"/>
          </w:tcPr>
          <w:p w14:paraId="3CA58C1D" w14:textId="28E7288D" w:rsidR="00A13974" w:rsidRPr="0033344F" w:rsidRDefault="0033344F" w:rsidP="00A13974">
            <w:pPr>
              <w:jc w:val="right"/>
              <w:rPr>
                <w:rFonts w:ascii="Arial" w:hAnsi="Arial" w:cs="Arial"/>
              </w:rPr>
            </w:pPr>
            <w:r w:rsidRPr="0033344F">
              <w:rPr>
                <w:rFonts w:ascii="Arial" w:hAnsi="Arial" w:cs="Arial"/>
              </w:rPr>
              <w:t>116.83</w:t>
            </w:r>
          </w:p>
        </w:tc>
        <w:tc>
          <w:tcPr>
            <w:tcW w:w="282" w:type="dxa"/>
            <w:tcBorders>
              <w:top w:val="nil"/>
              <w:left w:val="nil"/>
              <w:bottom w:val="single" w:sz="8" w:space="0" w:color="auto"/>
              <w:right w:val="single" w:sz="8" w:space="0" w:color="auto"/>
            </w:tcBorders>
            <w:shd w:val="clear" w:color="000000" w:fill="000000"/>
            <w:vAlign w:val="center"/>
          </w:tcPr>
          <w:p w14:paraId="35FD010A" w14:textId="4241224E" w:rsidR="00A13974" w:rsidRPr="00832FFB" w:rsidRDefault="00A13974" w:rsidP="00A13974">
            <w:pPr>
              <w:jc w:val="right"/>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461DA191" w14:textId="18EC2C36" w:rsidR="00A13974" w:rsidRPr="00832FFB" w:rsidRDefault="00A13974" w:rsidP="00A13974">
            <w:pPr>
              <w:jc w:val="right"/>
              <w:rPr>
                <w:rFonts w:ascii="Arial" w:hAnsi="Arial" w:cs="Arial"/>
                <w:color w:val="FF0000"/>
              </w:rPr>
            </w:pPr>
            <w:r w:rsidRPr="007A6353">
              <w:rPr>
                <w:rFonts w:ascii="Arial" w:hAnsi="Arial" w:cs="Arial"/>
              </w:rPr>
              <w:t>£2,084</w:t>
            </w:r>
          </w:p>
        </w:tc>
        <w:tc>
          <w:tcPr>
            <w:tcW w:w="1156" w:type="dxa"/>
            <w:tcBorders>
              <w:top w:val="nil"/>
              <w:left w:val="nil"/>
              <w:bottom w:val="single" w:sz="8" w:space="0" w:color="auto"/>
              <w:right w:val="single" w:sz="8" w:space="0" w:color="auto"/>
            </w:tcBorders>
            <w:shd w:val="clear" w:color="auto" w:fill="auto"/>
          </w:tcPr>
          <w:p w14:paraId="79CC15B5" w14:textId="4D8C803B" w:rsidR="00A13974" w:rsidRPr="00832FFB" w:rsidRDefault="00A13974" w:rsidP="00A13974">
            <w:pPr>
              <w:jc w:val="right"/>
              <w:rPr>
                <w:rFonts w:ascii="Arial" w:hAnsi="Arial" w:cs="Arial"/>
                <w:color w:val="FF0000"/>
              </w:rPr>
            </w:pPr>
            <w:r w:rsidRPr="00832FFB">
              <w:rPr>
                <w:rFonts w:ascii="Arial" w:hAnsi="Arial" w:cs="Arial"/>
              </w:rPr>
              <w:t>119.17</w:t>
            </w:r>
          </w:p>
        </w:tc>
      </w:tr>
      <w:tr w:rsidR="00A13974" w:rsidRPr="007A6353" w14:paraId="54B24CD2"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64DFEB8A" w14:textId="37E53818" w:rsidR="00A13974" w:rsidRPr="007A6353" w:rsidRDefault="00A13974" w:rsidP="00A13974">
            <w:pPr>
              <w:rPr>
                <w:rFonts w:ascii="Arial" w:hAnsi="Arial" w:cs="Arial"/>
                <w:color w:val="FF0000"/>
              </w:rPr>
            </w:pPr>
            <w:r w:rsidRPr="007A6353">
              <w:rPr>
                <w:rFonts w:ascii="Arial" w:hAnsi="Arial" w:cs="Arial"/>
              </w:rPr>
              <w:t>Harrow ARMs Units</w:t>
            </w:r>
          </w:p>
        </w:tc>
        <w:tc>
          <w:tcPr>
            <w:tcW w:w="1402" w:type="dxa"/>
            <w:tcBorders>
              <w:top w:val="nil"/>
              <w:left w:val="nil"/>
              <w:bottom w:val="single" w:sz="8" w:space="0" w:color="auto"/>
              <w:right w:val="single" w:sz="8" w:space="0" w:color="auto"/>
            </w:tcBorders>
            <w:shd w:val="clear" w:color="auto" w:fill="auto"/>
          </w:tcPr>
          <w:p w14:paraId="7D5BFE45" w14:textId="5EE78D47" w:rsidR="00A13974" w:rsidRPr="007A6353" w:rsidRDefault="00A13974" w:rsidP="00A13974">
            <w:pPr>
              <w:jc w:val="right"/>
              <w:rPr>
                <w:rFonts w:ascii="Arial" w:hAnsi="Arial" w:cs="Arial"/>
                <w:color w:val="FF0000"/>
              </w:rPr>
            </w:pPr>
            <w:r w:rsidRPr="007A6353">
              <w:rPr>
                <w:rFonts w:ascii="Arial" w:hAnsi="Arial" w:cs="Arial"/>
              </w:rPr>
              <w:t>£1,783</w:t>
            </w:r>
          </w:p>
        </w:tc>
        <w:tc>
          <w:tcPr>
            <w:tcW w:w="1134" w:type="dxa"/>
            <w:tcBorders>
              <w:top w:val="nil"/>
              <w:left w:val="nil"/>
              <w:bottom w:val="single" w:sz="8" w:space="0" w:color="auto"/>
              <w:right w:val="single" w:sz="8" w:space="0" w:color="auto"/>
            </w:tcBorders>
            <w:shd w:val="clear" w:color="auto" w:fill="auto"/>
          </w:tcPr>
          <w:p w14:paraId="4D36A7E8" w14:textId="578CD0FD" w:rsidR="00A13974" w:rsidRPr="00A13974" w:rsidRDefault="00A13974" w:rsidP="00A13974">
            <w:pPr>
              <w:jc w:val="right"/>
              <w:rPr>
                <w:rFonts w:ascii="Arial" w:hAnsi="Arial" w:cs="Arial"/>
                <w:color w:val="FF0000"/>
              </w:rPr>
            </w:pPr>
            <w:r w:rsidRPr="00A13974">
              <w:rPr>
                <w:rFonts w:ascii="Arial" w:hAnsi="Arial" w:cs="Arial"/>
              </w:rPr>
              <w:t>£1,778</w:t>
            </w:r>
          </w:p>
        </w:tc>
        <w:tc>
          <w:tcPr>
            <w:tcW w:w="1134" w:type="dxa"/>
            <w:tcBorders>
              <w:top w:val="nil"/>
              <w:left w:val="nil"/>
              <w:bottom w:val="single" w:sz="8" w:space="0" w:color="auto"/>
              <w:right w:val="single" w:sz="8" w:space="0" w:color="auto"/>
            </w:tcBorders>
            <w:shd w:val="clear" w:color="auto" w:fill="auto"/>
          </w:tcPr>
          <w:p w14:paraId="44D45F73" w14:textId="503A4E47" w:rsidR="00A13974" w:rsidRPr="00A13974" w:rsidRDefault="00A13974" w:rsidP="00A13974">
            <w:pPr>
              <w:jc w:val="right"/>
              <w:rPr>
                <w:rFonts w:ascii="Arial" w:hAnsi="Arial" w:cs="Arial"/>
                <w:color w:val="FF0000"/>
              </w:rPr>
            </w:pPr>
            <w:r w:rsidRPr="00A13974">
              <w:rPr>
                <w:rFonts w:ascii="Arial" w:hAnsi="Arial" w:cs="Arial"/>
                <w:color w:val="FF0000"/>
              </w:rPr>
              <w:t>-£5</w:t>
            </w:r>
          </w:p>
        </w:tc>
        <w:tc>
          <w:tcPr>
            <w:tcW w:w="1125" w:type="dxa"/>
            <w:tcBorders>
              <w:top w:val="nil"/>
              <w:left w:val="nil"/>
              <w:bottom w:val="single" w:sz="8" w:space="0" w:color="auto"/>
              <w:right w:val="single" w:sz="8" w:space="0" w:color="auto"/>
            </w:tcBorders>
            <w:shd w:val="clear" w:color="auto" w:fill="auto"/>
          </w:tcPr>
          <w:p w14:paraId="225E9566" w14:textId="4CA8CE4E" w:rsidR="00A13974" w:rsidRPr="0033344F" w:rsidRDefault="0033344F" w:rsidP="00A13974">
            <w:pPr>
              <w:jc w:val="right"/>
              <w:rPr>
                <w:rFonts w:ascii="Arial" w:hAnsi="Arial" w:cs="Arial"/>
              </w:rPr>
            </w:pPr>
            <w:r w:rsidRPr="0033344F">
              <w:rPr>
                <w:rFonts w:ascii="Arial" w:hAnsi="Arial" w:cs="Arial"/>
              </w:rPr>
              <w:t>149.17</w:t>
            </w:r>
          </w:p>
        </w:tc>
        <w:tc>
          <w:tcPr>
            <w:tcW w:w="282" w:type="dxa"/>
            <w:tcBorders>
              <w:top w:val="nil"/>
              <w:left w:val="nil"/>
              <w:bottom w:val="single" w:sz="8" w:space="0" w:color="auto"/>
              <w:right w:val="single" w:sz="8" w:space="0" w:color="auto"/>
            </w:tcBorders>
            <w:shd w:val="clear" w:color="000000" w:fill="000000"/>
            <w:vAlign w:val="center"/>
          </w:tcPr>
          <w:p w14:paraId="21961CA2" w14:textId="2FBACAAC"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16D53DA2" w14:textId="4BDE1C0B" w:rsidR="00A13974" w:rsidRPr="00832FFB" w:rsidRDefault="00A13974" w:rsidP="00A13974">
            <w:pPr>
              <w:jc w:val="right"/>
              <w:rPr>
                <w:rFonts w:ascii="Arial" w:hAnsi="Arial" w:cs="Arial"/>
                <w:color w:val="FF0000"/>
              </w:rPr>
            </w:pPr>
            <w:r w:rsidRPr="007A6353">
              <w:rPr>
                <w:rFonts w:ascii="Arial" w:hAnsi="Arial" w:cs="Arial"/>
              </w:rPr>
              <w:t>£1,783</w:t>
            </w:r>
          </w:p>
        </w:tc>
        <w:tc>
          <w:tcPr>
            <w:tcW w:w="1156" w:type="dxa"/>
            <w:tcBorders>
              <w:top w:val="nil"/>
              <w:left w:val="nil"/>
              <w:bottom w:val="single" w:sz="8" w:space="0" w:color="auto"/>
              <w:right w:val="single" w:sz="8" w:space="0" w:color="auto"/>
            </w:tcBorders>
            <w:shd w:val="clear" w:color="auto" w:fill="auto"/>
          </w:tcPr>
          <w:p w14:paraId="0DAA2DF8" w14:textId="475A1B40" w:rsidR="00A13974" w:rsidRPr="00832FFB" w:rsidRDefault="00A13974" w:rsidP="00A13974">
            <w:pPr>
              <w:jc w:val="right"/>
              <w:rPr>
                <w:rFonts w:ascii="Arial" w:hAnsi="Arial" w:cs="Arial"/>
                <w:color w:val="FF0000"/>
              </w:rPr>
            </w:pPr>
            <w:r w:rsidRPr="00832FFB">
              <w:rPr>
                <w:rFonts w:ascii="Arial" w:hAnsi="Arial" w:cs="Arial"/>
              </w:rPr>
              <w:t>149.17</w:t>
            </w:r>
          </w:p>
        </w:tc>
      </w:tr>
      <w:tr w:rsidR="00A13974" w:rsidRPr="007A6353" w14:paraId="3E9C335D"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573A0A4D" w14:textId="43564448" w:rsidR="00A13974" w:rsidRPr="007A6353" w:rsidRDefault="00A13974" w:rsidP="00A13974">
            <w:pPr>
              <w:rPr>
                <w:rFonts w:ascii="Arial" w:hAnsi="Arial" w:cs="Arial"/>
                <w:color w:val="FF0000"/>
              </w:rPr>
            </w:pPr>
            <w:r w:rsidRPr="007A6353">
              <w:rPr>
                <w:rFonts w:ascii="Arial" w:hAnsi="Arial" w:cs="Arial"/>
              </w:rPr>
              <w:t>EHCPs in Harrow Schools</w:t>
            </w:r>
          </w:p>
        </w:tc>
        <w:tc>
          <w:tcPr>
            <w:tcW w:w="1402" w:type="dxa"/>
            <w:tcBorders>
              <w:top w:val="nil"/>
              <w:left w:val="nil"/>
              <w:bottom w:val="single" w:sz="8" w:space="0" w:color="auto"/>
              <w:right w:val="single" w:sz="8" w:space="0" w:color="auto"/>
            </w:tcBorders>
            <w:shd w:val="clear" w:color="auto" w:fill="auto"/>
          </w:tcPr>
          <w:p w14:paraId="68AA0908" w14:textId="1D7CFDC5" w:rsidR="00A13974" w:rsidRPr="007A6353" w:rsidRDefault="00A13974" w:rsidP="00A13974">
            <w:pPr>
              <w:jc w:val="right"/>
              <w:rPr>
                <w:rFonts w:ascii="Arial" w:hAnsi="Arial" w:cs="Arial"/>
                <w:color w:val="FF0000"/>
              </w:rPr>
            </w:pPr>
            <w:r w:rsidRPr="007A6353">
              <w:rPr>
                <w:rFonts w:ascii="Arial" w:hAnsi="Arial" w:cs="Arial"/>
              </w:rPr>
              <w:t>£5,360</w:t>
            </w:r>
          </w:p>
        </w:tc>
        <w:tc>
          <w:tcPr>
            <w:tcW w:w="1134" w:type="dxa"/>
            <w:tcBorders>
              <w:top w:val="nil"/>
              <w:left w:val="nil"/>
              <w:bottom w:val="single" w:sz="8" w:space="0" w:color="auto"/>
              <w:right w:val="single" w:sz="8" w:space="0" w:color="auto"/>
            </w:tcBorders>
            <w:shd w:val="clear" w:color="auto" w:fill="auto"/>
          </w:tcPr>
          <w:p w14:paraId="5E2968AC" w14:textId="67D9E7DC" w:rsidR="00A13974" w:rsidRPr="00A13974" w:rsidRDefault="00A13974" w:rsidP="00A13974">
            <w:pPr>
              <w:jc w:val="right"/>
              <w:rPr>
                <w:rFonts w:ascii="Arial" w:hAnsi="Arial" w:cs="Arial"/>
                <w:color w:val="FF0000"/>
              </w:rPr>
            </w:pPr>
            <w:r w:rsidRPr="00A13974">
              <w:rPr>
                <w:rFonts w:ascii="Arial" w:hAnsi="Arial" w:cs="Arial"/>
              </w:rPr>
              <w:t>£5,360</w:t>
            </w:r>
          </w:p>
        </w:tc>
        <w:tc>
          <w:tcPr>
            <w:tcW w:w="1134" w:type="dxa"/>
            <w:tcBorders>
              <w:top w:val="nil"/>
              <w:left w:val="nil"/>
              <w:bottom w:val="single" w:sz="8" w:space="0" w:color="auto"/>
              <w:right w:val="single" w:sz="8" w:space="0" w:color="auto"/>
            </w:tcBorders>
            <w:shd w:val="clear" w:color="auto" w:fill="auto"/>
          </w:tcPr>
          <w:p w14:paraId="75A1767B" w14:textId="2DA0DC9B" w:rsidR="00A13974" w:rsidRPr="00A13974" w:rsidRDefault="00A13974" w:rsidP="00A13974">
            <w:pPr>
              <w:jc w:val="right"/>
              <w:rPr>
                <w:rFonts w:ascii="Arial" w:hAnsi="Arial" w:cs="Arial"/>
                <w:color w:val="FF0000"/>
              </w:rPr>
            </w:pPr>
            <w:r w:rsidRPr="00A13974">
              <w:rPr>
                <w:rFonts w:ascii="Arial" w:hAnsi="Arial" w:cs="Arial"/>
              </w:rPr>
              <w:t>£0</w:t>
            </w:r>
          </w:p>
        </w:tc>
        <w:tc>
          <w:tcPr>
            <w:tcW w:w="1125" w:type="dxa"/>
            <w:tcBorders>
              <w:top w:val="nil"/>
              <w:left w:val="nil"/>
              <w:bottom w:val="single" w:sz="8" w:space="0" w:color="auto"/>
              <w:right w:val="single" w:sz="8" w:space="0" w:color="auto"/>
            </w:tcBorders>
            <w:shd w:val="clear" w:color="auto" w:fill="auto"/>
          </w:tcPr>
          <w:p w14:paraId="0C932CFC" w14:textId="77777777" w:rsidR="00A13974" w:rsidRPr="0033344F" w:rsidRDefault="0033344F" w:rsidP="00A13974">
            <w:pPr>
              <w:jc w:val="right"/>
              <w:rPr>
                <w:rFonts w:ascii="Arial" w:hAnsi="Arial" w:cs="Arial"/>
              </w:rPr>
            </w:pPr>
            <w:r w:rsidRPr="0033344F">
              <w:rPr>
                <w:rFonts w:ascii="Arial" w:hAnsi="Arial" w:cs="Arial"/>
              </w:rPr>
              <w:t>617.13</w:t>
            </w:r>
          </w:p>
          <w:p w14:paraId="4E4B5162" w14:textId="3247EE71" w:rsidR="0033344F" w:rsidRPr="0033344F" w:rsidRDefault="0033344F" w:rsidP="00A13974">
            <w:pPr>
              <w:jc w:val="right"/>
              <w:rPr>
                <w:rFonts w:ascii="Arial" w:hAnsi="Arial" w:cs="Arial"/>
              </w:rPr>
            </w:pPr>
          </w:p>
        </w:tc>
        <w:tc>
          <w:tcPr>
            <w:tcW w:w="282" w:type="dxa"/>
            <w:tcBorders>
              <w:top w:val="nil"/>
              <w:left w:val="nil"/>
              <w:bottom w:val="single" w:sz="8" w:space="0" w:color="auto"/>
              <w:right w:val="single" w:sz="8" w:space="0" w:color="auto"/>
            </w:tcBorders>
            <w:shd w:val="clear" w:color="000000" w:fill="000000"/>
            <w:vAlign w:val="center"/>
          </w:tcPr>
          <w:p w14:paraId="3A7DEA74" w14:textId="48BD7C67" w:rsidR="00A13974" w:rsidRPr="00832FFB" w:rsidRDefault="00A13974" w:rsidP="00A13974">
            <w:pPr>
              <w:jc w:val="right"/>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0B98336B" w14:textId="05F946D1" w:rsidR="00A13974" w:rsidRPr="00832FFB" w:rsidRDefault="00A13974" w:rsidP="00A13974">
            <w:pPr>
              <w:jc w:val="right"/>
              <w:rPr>
                <w:rFonts w:ascii="Arial" w:hAnsi="Arial" w:cs="Arial"/>
                <w:color w:val="FF0000"/>
              </w:rPr>
            </w:pPr>
            <w:r w:rsidRPr="007A6353">
              <w:rPr>
                <w:rFonts w:ascii="Arial" w:hAnsi="Arial" w:cs="Arial"/>
              </w:rPr>
              <w:t>£5,360</w:t>
            </w:r>
          </w:p>
        </w:tc>
        <w:tc>
          <w:tcPr>
            <w:tcW w:w="1156" w:type="dxa"/>
            <w:tcBorders>
              <w:top w:val="nil"/>
              <w:left w:val="nil"/>
              <w:bottom w:val="single" w:sz="8" w:space="0" w:color="auto"/>
              <w:right w:val="single" w:sz="8" w:space="0" w:color="auto"/>
            </w:tcBorders>
            <w:shd w:val="clear" w:color="auto" w:fill="auto"/>
          </w:tcPr>
          <w:p w14:paraId="68F94A17" w14:textId="7AA821A0" w:rsidR="00A13974" w:rsidRPr="00832FFB" w:rsidRDefault="00A13974" w:rsidP="00A13974">
            <w:pPr>
              <w:jc w:val="right"/>
              <w:rPr>
                <w:rFonts w:ascii="Arial" w:hAnsi="Arial" w:cs="Arial"/>
                <w:color w:val="FF0000"/>
              </w:rPr>
            </w:pPr>
            <w:r w:rsidRPr="00832FFB">
              <w:rPr>
                <w:rFonts w:ascii="Arial" w:hAnsi="Arial" w:cs="Arial"/>
              </w:rPr>
              <w:t>617.13</w:t>
            </w:r>
          </w:p>
        </w:tc>
      </w:tr>
      <w:tr w:rsidR="00A13974" w:rsidRPr="007A6353" w14:paraId="3218F2CD"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096B5CEB" w14:textId="3EA8B1CB" w:rsidR="00A13974" w:rsidRPr="007A6353" w:rsidRDefault="00A13974" w:rsidP="00A13974">
            <w:pPr>
              <w:rPr>
                <w:rFonts w:ascii="Arial" w:hAnsi="Arial" w:cs="Arial"/>
                <w:color w:val="FF0000"/>
              </w:rPr>
            </w:pPr>
            <w:r w:rsidRPr="007A6353">
              <w:rPr>
                <w:rFonts w:ascii="Arial" w:hAnsi="Arial" w:cs="Arial"/>
              </w:rPr>
              <w:t>EHCPs in Out Borough Mainstream Schools</w:t>
            </w:r>
          </w:p>
        </w:tc>
        <w:tc>
          <w:tcPr>
            <w:tcW w:w="1402" w:type="dxa"/>
            <w:tcBorders>
              <w:top w:val="nil"/>
              <w:left w:val="nil"/>
              <w:bottom w:val="single" w:sz="8" w:space="0" w:color="auto"/>
              <w:right w:val="single" w:sz="8" w:space="0" w:color="auto"/>
            </w:tcBorders>
            <w:shd w:val="clear" w:color="auto" w:fill="auto"/>
          </w:tcPr>
          <w:p w14:paraId="76D84696" w14:textId="3BF55190" w:rsidR="00A13974" w:rsidRPr="007A6353" w:rsidRDefault="00A13974" w:rsidP="00A13974">
            <w:pPr>
              <w:jc w:val="right"/>
              <w:rPr>
                <w:rFonts w:ascii="Arial" w:hAnsi="Arial" w:cs="Arial"/>
                <w:color w:val="FF0000"/>
              </w:rPr>
            </w:pPr>
            <w:r w:rsidRPr="007A6353">
              <w:rPr>
                <w:rFonts w:ascii="Arial" w:hAnsi="Arial" w:cs="Arial"/>
              </w:rPr>
              <w:t>£1,068</w:t>
            </w:r>
          </w:p>
        </w:tc>
        <w:tc>
          <w:tcPr>
            <w:tcW w:w="1134" w:type="dxa"/>
            <w:tcBorders>
              <w:top w:val="nil"/>
              <w:left w:val="nil"/>
              <w:bottom w:val="single" w:sz="8" w:space="0" w:color="auto"/>
              <w:right w:val="single" w:sz="8" w:space="0" w:color="auto"/>
            </w:tcBorders>
            <w:shd w:val="clear" w:color="auto" w:fill="auto"/>
          </w:tcPr>
          <w:p w14:paraId="6218D091" w14:textId="0F3BFF8D" w:rsidR="00A13974" w:rsidRPr="00A13974" w:rsidRDefault="00A13974" w:rsidP="00A13974">
            <w:pPr>
              <w:jc w:val="right"/>
              <w:rPr>
                <w:rFonts w:ascii="Arial" w:hAnsi="Arial" w:cs="Arial"/>
                <w:color w:val="FF0000"/>
              </w:rPr>
            </w:pPr>
            <w:r w:rsidRPr="00A13974">
              <w:rPr>
                <w:rFonts w:ascii="Arial" w:hAnsi="Arial" w:cs="Arial"/>
              </w:rPr>
              <w:t>£1,035</w:t>
            </w:r>
          </w:p>
        </w:tc>
        <w:tc>
          <w:tcPr>
            <w:tcW w:w="1134" w:type="dxa"/>
            <w:tcBorders>
              <w:top w:val="nil"/>
              <w:left w:val="nil"/>
              <w:bottom w:val="single" w:sz="8" w:space="0" w:color="auto"/>
              <w:right w:val="single" w:sz="8" w:space="0" w:color="auto"/>
            </w:tcBorders>
            <w:shd w:val="clear" w:color="auto" w:fill="auto"/>
          </w:tcPr>
          <w:p w14:paraId="6D06300D" w14:textId="0BC78484" w:rsidR="00A13974" w:rsidRPr="00A13974" w:rsidRDefault="00A13974" w:rsidP="00A13974">
            <w:pPr>
              <w:jc w:val="right"/>
              <w:rPr>
                <w:rFonts w:ascii="Arial" w:hAnsi="Arial" w:cs="Arial"/>
                <w:color w:val="FF0000"/>
              </w:rPr>
            </w:pPr>
            <w:r w:rsidRPr="00A13974">
              <w:rPr>
                <w:rFonts w:ascii="Arial" w:hAnsi="Arial" w:cs="Arial"/>
                <w:color w:val="FF0000"/>
              </w:rPr>
              <w:t>-£34</w:t>
            </w:r>
          </w:p>
        </w:tc>
        <w:tc>
          <w:tcPr>
            <w:tcW w:w="1125" w:type="dxa"/>
            <w:tcBorders>
              <w:top w:val="nil"/>
              <w:left w:val="nil"/>
              <w:bottom w:val="single" w:sz="8" w:space="0" w:color="auto"/>
              <w:right w:val="single" w:sz="8" w:space="0" w:color="auto"/>
            </w:tcBorders>
            <w:shd w:val="clear" w:color="auto" w:fill="auto"/>
          </w:tcPr>
          <w:p w14:paraId="216E59B6" w14:textId="7D620798" w:rsidR="00A13974" w:rsidRPr="0033344F" w:rsidRDefault="0033344F" w:rsidP="00A13974">
            <w:pPr>
              <w:jc w:val="right"/>
              <w:rPr>
                <w:rFonts w:ascii="Arial" w:hAnsi="Arial" w:cs="Arial"/>
              </w:rPr>
            </w:pPr>
            <w:r w:rsidRPr="0033344F">
              <w:rPr>
                <w:rFonts w:ascii="Arial" w:hAnsi="Arial" w:cs="Arial"/>
              </w:rPr>
              <w:t>131.04</w:t>
            </w:r>
          </w:p>
        </w:tc>
        <w:tc>
          <w:tcPr>
            <w:tcW w:w="282" w:type="dxa"/>
            <w:tcBorders>
              <w:top w:val="nil"/>
              <w:left w:val="nil"/>
              <w:bottom w:val="single" w:sz="8" w:space="0" w:color="auto"/>
              <w:right w:val="single" w:sz="8" w:space="0" w:color="auto"/>
            </w:tcBorders>
            <w:shd w:val="clear" w:color="000000" w:fill="000000"/>
            <w:vAlign w:val="center"/>
          </w:tcPr>
          <w:p w14:paraId="21745FAE" w14:textId="5BF8E337"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08875168" w14:textId="742D1FE2" w:rsidR="00A13974" w:rsidRPr="00832FFB" w:rsidRDefault="00A13974" w:rsidP="00A13974">
            <w:pPr>
              <w:jc w:val="right"/>
              <w:rPr>
                <w:rFonts w:ascii="Arial" w:hAnsi="Arial" w:cs="Arial"/>
                <w:color w:val="FF0000"/>
              </w:rPr>
            </w:pPr>
            <w:r w:rsidRPr="007A6353">
              <w:rPr>
                <w:rFonts w:ascii="Arial" w:hAnsi="Arial" w:cs="Arial"/>
              </w:rPr>
              <w:t>£835</w:t>
            </w:r>
          </w:p>
        </w:tc>
        <w:tc>
          <w:tcPr>
            <w:tcW w:w="1156" w:type="dxa"/>
            <w:tcBorders>
              <w:top w:val="nil"/>
              <w:left w:val="nil"/>
              <w:bottom w:val="single" w:sz="8" w:space="0" w:color="auto"/>
              <w:right w:val="single" w:sz="8" w:space="0" w:color="auto"/>
            </w:tcBorders>
            <w:shd w:val="clear" w:color="auto" w:fill="auto"/>
          </w:tcPr>
          <w:p w14:paraId="4A4AC94A" w14:textId="7EA4CA0F" w:rsidR="00A13974" w:rsidRPr="00832FFB" w:rsidRDefault="00A13974" w:rsidP="00A13974">
            <w:pPr>
              <w:jc w:val="right"/>
              <w:rPr>
                <w:rFonts w:ascii="Arial" w:hAnsi="Arial" w:cs="Arial"/>
                <w:color w:val="FF0000"/>
              </w:rPr>
            </w:pPr>
            <w:r w:rsidRPr="00832FFB">
              <w:rPr>
                <w:rFonts w:ascii="Arial" w:hAnsi="Arial" w:cs="Arial"/>
              </w:rPr>
              <w:t>125.92</w:t>
            </w:r>
          </w:p>
        </w:tc>
      </w:tr>
      <w:tr w:rsidR="00A13974" w:rsidRPr="007A6353" w14:paraId="63AB9DE4"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022770ED" w14:textId="325614DF" w:rsidR="00A13974" w:rsidRPr="007A6353" w:rsidRDefault="00A13974" w:rsidP="00A13974">
            <w:pPr>
              <w:rPr>
                <w:rFonts w:ascii="Arial" w:hAnsi="Arial" w:cs="Arial"/>
                <w:color w:val="FF0000"/>
              </w:rPr>
            </w:pPr>
            <w:r w:rsidRPr="007A6353">
              <w:rPr>
                <w:rFonts w:ascii="Arial" w:hAnsi="Arial" w:cs="Arial"/>
              </w:rPr>
              <w:t>SEND Support Fund (new 2020-21)</w:t>
            </w:r>
          </w:p>
        </w:tc>
        <w:tc>
          <w:tcPr>
            <w:tcW w:w="1402" w:type="dxa"/>
            <w:tcBorders>
              <w:top w:val="nil"/>
              <w:left w:val="nil"/>
              <w:bottom w:val="single" w:sz="8" w:space="0" w:color="auto"/>
              <w:right w:val="single" w:sz="8" w:space="0" w:color="auto"/>
            </w:tcBorders>
            <w:shd w:val="clear" w:color="auto" w:fill="auto"/>
          </w:tcPr>
          <w:p w14:paraId="3E23EE64" w14:textId="0B9B2A4D" w:rsidR="00A13974" w:rsidRPr="007A6353" w:rsidRDefault="00A13974" w:rsidP="00A13974">
            <w:pPr>
              <w:jc w:val="right"/>
              <w:rPr>
                <w:rFonts w:ascii="Arial" w:hAnsi="Arial" w:cs="Arial"/>
                <w:color w:val="FF0000"/>
              </w:rPr>
            </w:pPr>
            <w:r w:rsidRPr="007A6353">
              <w:rPr>
                <w:rFonts w:ascii="Arial" w:hAnsi="Arial" w:cs="Arial"/>
              </w:rPr>
              <w:t>£726</w:t>
            </w:r>
          </w:p>
        </w:tc>
        <w:tc>
          <w:tcPr>
            <w:tcW w:w="1134" w:type="dxa"/>
            <w:tcBorders>
              <w:top w:val="nil"/>
              <w:left w:val="nil"/>
              <w:bottom w:val="single" w:sz="8" w:space="0" w:color="auto"/>
              <w:right w:val="single" w:sz="8" w:space="0" w:color="auto"/>
            </w:tcBorders>
            <w:shd w:val="clear" w:color="auto" w:fill="auto"/>
          </w:tcPr>
          <w:p w14:paraId="037D5850" w14:textId="00336997" w:rsidR="00A13974" w:rsidRPr="00A13974" w:rsidRDefault="00A13974" w:rsidP="00A13974">
            <w:pPr>
              <w:jc w:val="right"/>
              <w:rPr>
                <w:rFonts w:ascii="Arial" w:hAnsi="Arial" w:cs="Arial"/>
                <w:color w:val="FF0000"/>
              </w:rPr>
            </w:pPr>
            <w:r w:rsidRPr="00A13974">
              <w:rPr>
                <w:rFonts w:ascii="Arial" w:hAnsi="Arial" w:cs="Arial"/>
              </w:rPr>
              <w:t>£726</w:t>
            </w:r>
          </w:p>
        </w:tc>
        <w:tc>
          <w:tcPr>
            <w:tcW w:w="1134" w:type="dxa"/>
            <w:tcBorders>
              <w:top w:val="nil"/>
              <w:left w:val="nil"/>
              <w:bottom w:val="single" w:sz="8" w:space="0" w:color="auto"/>
              <w:right w:val="single" w:sz="8" w:space="0" w:color="auto"/>
            </w:tcBorders>
            <w:shd w:val="clear" w:color="auto" w:fill="auto"/>
          </w:tcPr>
          <w:p w14:paraId="7AB1A158" w14:textId="4F666AB8" w:rsidR="00A13974" w:rsidRPr="00A13974" w:rsidRDefault="00A13974" w:rsidP="00A13974">
            <w:pPr>
              <w:jc w:val="right"/>
              <w:rPr>
                <w:rFonts w:ascii="Arial" w:hAnsi="Arial" w:cs="Arial"/>
                <w:color w:val="FF0000"/>
              </w:rPr>
            </w:pPr>
            <w:r w:rsidRPr="00A13974">
              <w:rPr>
                <w:rFonts w:ascii="Arial" w:hAnsi="Arial" w:cs="Arial"/>
              </w:rPr>
              <w:t>£0</w:t>
            </w:r>
          </w:p>
        </w:tc>
        <w:tc>
          <w:tcPr>
            <w:tcW w:w="1125" w:type="dxa"/>
            <w:tcBorders>
              <w:top w:val="nil"/>
              <w:left w:val="nil"/>
              <w:bottom w:val="single" w:sz="8" w:space="0" w:color="auto"/>
              <w:right w:val="single" w:sz="8" w:space="0" w:color="auto"/>
            </w:tcBorders>
            <w:shd w:val="clear" w:color="auto" w:fill="auto"/>
          </w:tcPr>
          <w:p w14:paraId="0B879439" w14:textId="694F6ADF" w:rsidR="00A13974" w:rsidRPr="0033344F" w:rsidRDefault="00A13974" w:rsidP="00A13974">
            <w:pPr>
              <w:jc w:val="right"/>
              <w:rPr>
                <w:rFonts w:ascii="Arial" w:hAnsi="Arial" w:cs="Arial"/>
              </w:rPr>
            </w:pPr>
          </w:p>
        </w:tc>
        <w:tc>
          <w:tcPr>
            <w:tcW w:w="282" w:type="dxa"/>
            <w:tcBorders>
              <w:top w:val="nil"/>
              <w:left w:val="nil"/>
              <w:bottom w:val="single" w:sz="8" w:space="0" w:color="auto"/>
              <w:right w:val="single" w:sz="8" w:space="0" w:color="auto"/>
            </w:tcBorders>
            <w:shd w:val="clear" w:color="000000" w:fill="000000"/>
            <w:vAlign w:val="center"/>
          </w:tcPr>
          <w:p w14:paraId="6B4E0DDF" w14:textId="1C7C582D"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2C770293" w14:textId="16F94F61" w:rsidR="00A13974" w:rsidRPr="00832FFB" w:rsidRDefault="00A13974" w:rsidP="00A13974">
            <w:pPr>
              <w:jc w:val="right"/>
              <w:rPr>
                <w:rFonts w:ascii="Arial" w:hAnsi="Arial" w:cs="Arial"/>
                <w:color w:val="FF0000"/>
              </w:rPr>
            </w:pPr>
            <w:r w:rsidRPr="007A6353">
              <w:rPr>
                <w:rFonts w:ascii="Arial" w:hAnsi="Arial" w:cs="Arial"/>
              </w:rPr>
              <w:t>£726</w:t>
            </w:r>
          </w:p>
        </w:tc>
        <w:tc>
          <w:tcPr>
            <w:tcW w:w="1156" w:type="dxa"/>
            <w:tcBorders>
              <w:top w:val="nil"/>
              <w:left w:val="nil"/>
              <w:bottom w:val="single" w:sz="8" w:space="0" w:color="auto"/>
              <w:right w:val="single" w:sz="8" w:space="0" w:color="auto"/>
            </w:tcBorders>
            <w:shd w:val="clear" w:color="auto" w:fill="auto"/>
          </w:tcPr>
          <w:p w14:paraId="6CAA7DDE" w14:textId="682989F9" w:rsidR="00A13974" w:rsidRPr="00832FFB" w:rsidRDefault="00A13974" w:rsidP="00A13974">
            <w:pPr>
              <w:jc w:val="right"/>
              <w:rPr>
                <w:rFonts w:ascii="Arial" w:hAnsi="Arial" w:cs="Arial"/>
                <w:color w:val="FF0000"/>
              </w:rPr>
            </w:pPr>
          </w:p>
        </w:tc>
      </w:tr>
      <w:tr w:rsidR="00A13974" w:rsidRPr="007A6353" w14:paraId="08E25275"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49D51190" w14:textId="56EF6A8E" w:rsidR="00A13974" w:rsidRPr="007A6353" w:rsidRDefault="00A13974" w:rsidP="00A13974">
            <w:pPr>
              <w:rPr>
                <w:rFonts w:ascii="Arial" w:hAnsi="Arial" w:cs="Arial"/>
                <w:color w:val="FF0000"/>
              </w:rPr>
            </w:pPr>
            <w:r w:rsidRPr="007A6353">
              <w:rPr>
                <w:rFonts w:ascii="Arial" w:hAnsi="Arial" w:cs="Arial"/>
              </w:rPr>
              <w:t>Independent Specialist Provision Post 16</w:t>
            </w:r>
          </w:p>
        </w:tc>
        <w:tc>
          <w:tcPr>
            <w:tcW w:w="1402" w:type="dxa"/>
            <w:tcBorders>
              <w:top w:val="nil"/>
              <w:left w:val="nil"/>
              <w:bottom w:val="single" w:sz="8" w:space="0" w:color="auto"/>
              <w:right w:val="single" w:sz="8" w:space="0" w:color="auto"/>
            </w:tcBorders>
            <w:shd w:val="clear" w:color="auto" w:fill="auto"/>
          </w:tcPr>
          <w:p w14:paraId="0E0FA412" w14:textId="496AE0E4" w:rsidR="00A13974" w:rsidRPr="007A6353" w:rsidRDefault="00A13974" w:rsidP="00A13974">
            <w:pPr>
              <w:jc w:val="right"/>
              <w:rPr>
                <w:rFonts w:ascii="Arial" w:hAnsi="Arial" w:cs="Arial"/>
                <w:color w:val="FF0000"/>
              </w:rPr>
            </w:pPr>
            <w:r w:rsidRPr="007A6353">
              <w:rPr>
                <w:rFonts w:ascii="Arial" w:hAnsi="Arial" w:cs="Arial"/>
              </w:rPr>
              <w:t>£935</w:t>
            </w:r>
          </w:p>
        </w:tc>
        <w:tc>
          <w:tcPr>
            <w:tcW w:w="1134" w:type="dxa"/>
            <w:tcBorders>
              <w:top w:val="nil"/>
              <w:left w:val="nil"/>
              <w:bottom w:val="single" w:sz="8" w:space="0" w:color="auto"/>
              <w:right w:val="single" w:sz="8" w:space="0" w:color="auto"/>
            </w:tcBorders>
            <w:shd w:val="clear" w:color="auto" w:fill="auto"/>
          </w:tcPr>
          <w:p w14:paraId="09160974" w14:textId="2718FCC6" w:rsidR="00A13974" w:rsidRPr="00A13974" w:rsidRDefault="00A13974" w:rsidP="00A13974">
            <w:pPr>
              <w:jc w:val="right"/>
              <w:rPr>
                <w:rFonts w:ascii="Arial" w:hAnsi="Arial" w:cs="Arial"/>
                <w:color w:val="FF0000"/>
              </w:rPr>
            </w:pPr>
            <w:r w:rsidRPr="00A13974">
              <w:rPr>
                <w:rFonts w:ascii="Arial" w:hAnsi="Arial" w:cs="Arial"/>
              </w:rPr>
              <w:t>£1,261</w:t>
            </w:r>
          </w:p>
        </w:tc>
        <w:tc>
          <w:tcPr>
            <w:tcW w:w="1134" w:type="dxa"/>
            <w:tcBorders>
              <w:top w:val="nil"/>
              <w:left w:val="nil"/>
              <w:bottom w:val="single" w:sz="8" w:space="0" w:color="auto"/>
              <w:right w:val="single" w:sz="8" w:space="0" w:color="auto"/>
            </w:tcBorders>
            <w:shd w:val="clear" w:color="auto" w:fill="auto"/>
          </w:tcPr>
          <w:p w14:paraId="2D75627C" w14:textId="04A5F753" w:rsidR="00A13974" w:rsidRPr="00A13974" w:rsidRDefault="00A13974" w:rsidP="00A13974">
            <w:pPr>
              <w:jc w:val="right"/>
              <w:rPr>
                <w:rFonts w:ascii="Arial" w:hAnsi="Arial" w:cs="Arial"/>
                <w:color w:val="FF0000"/>
              </w:rPr>
            </w:pPr>
            <w:r w:rsidRPr="00A13974">
              <w:rPr>
                <w:rFonts w:ascii="Arial" w:hAnsi="Arial" w:cs="Arial"/>
              </w:rPr>
              <w:t>£326</w:t>
            </w:r>
          </w:p>
        </w:tc>
        <w:tc>
          <w:tcPr>
            <w:tcW w:w="1125" w:type="dxa"/>
            <w:tcBorders>
              <w:top w:val="nil"/>
              <w:left w:val="nil"/>
              <w:bottom w:val="single" w:sz="8" w:space="0" w:color="auto"/>
              <w:right w:val="single" w:sz="8" w:space="0" w:color="auto"/>
            </w:tcBorders>
            <w:shd w:val="clear" w:color="auto" w:fill="auto"/>
          </w:tcPr>
          <w:p w14:paraId="504B9341" w14:textId="77777777" w:rsidR="00A13974" w:rsidRPr="0033344F" w:rsidRDefault="0033344F" w:rsidP="00A13974">
            <w:pPr>
              <w:jc w:val="right"/>
              <w:rPr>
                <w:rFonts w:ascii="Arial" w:hAnsi="Arial" w:cs="Arial"/>
              </w:rPr>
            </w:pPr>
            <w:r w:rsidRPr="0033344F">
              <w:rPr>
                <w:rFonts w:ascii="Arial" w:hAnsi="Arial" w:cs="Arial"/>
              </w:rPr>
              <w:t>30.42</w:t>
            </w:r>
          </w:p>
          <w:p w14:paraId="0B50037F" w14:textId="33C60F74" w:rsidR="0033344F" w:rsidRPr="0033344F" w:rsidRDefault="0033344F" w:rsidP="00A13974">
            <w:pPr>
              <w:jc w:val="right"/>
              <w:rPr>
                <w:rFonts w:ascii="Arial" w:hAnsi="Arial" w:cs="Arial"/>
              </w:rPr>
            </w:pPr>
          </w:p>
        </w:tc>
        <w:tc>
          <w:tcPr>
            <w:tcW w:w="282" w:type="dxa"/>
            <w:tcBorders>
              <w:top w:val="nil"/>
              <w:left w:val="nil"/>
              <w:bottom w:val="single" w:sz="8" w:space="0" w:color="auto"/>
              <w:right w:val="single" w:sz="8" w:space="0" w:color="auto"/>
            </w:tcBorders>
            <w:shd w:val="clear" w:color="000000" w:fill="000000"/>
            <w:vAlign w:val="center"/>
          </w:tcPr>
          <w:p w14:paraId="17A2C773" w14:textId="3A7C8790" w:rsidR="00A13974" w:rsidRPr="00832FFB" w:rsidRDefault="00A13974" w:rsidP="00A13974">
            <w:pPr>
              <w:jc w:val="right"/>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5ACA55FA" w14:textId="0D14D979" w:rsidR="00A13974" w:rsidRPr="00832FFB" w:rsidRDefault="00A13974" w:rsidP="00A13974">
            <w:pPr>
              <w:jc w:val="right"/>
              <w:rPr>
                <w:rFonts w:ascii="Arial" w:hAnsi="Arial" w:cs="Arial"/>
                <w:color w:val="FF0000"/>
              </w:rPr>
            </w:pPr>
            <w:r w:rsidRPr="007A6353">
              <w:rPr>
                <w:rFonts w:ascii="Arial" w:hAnsi="Arial" w:cs="Arial"/>
              </w:rPr>
              <w:t>£1,090</w:t>
            </w:r>
          </w:p>
        </w:tc>
        <w:tc>
          <w:tcPr>
            <w:tcW w:w="1156" w:type="dxa"/>
            <w:tcBorders>
              <w:top w:val="nil"/>
              <w:left w:val="nil"/>
              <w:bottom w:val="single" w:sz="8" w:space="0" w:color="auto"/>
              <w:right w:val="single" w:sz="8" w:space="0" w:color="auto"/>
            </w:tcBorders>
            <w:shd w:val="clear" w:color="auto" w:fill="auto"/>
          </w:tcPr>
          <w:p w14:paraId="1F513170" w14:textId="7E161D73" w:rsidR="00A13974" w:rsidRPr="00832FFB" w:rsidRDefault="00A13974" w:rsidP="00A13974">
            <w:pPr>
              <w:jc w:val="right"/>
              <w:rPr>
                <w:rFonts w:ascii="Arial" w:hAnsi="Arial" w:cs="Arial"/>
                <w:color w:val="FF0000"/>
              </w:rPr>
            </w:pPr>
            <w:r w:rsidRPr="00832FFB">
              <w:rPr>
                <w:rFonts w:ascii="Arial" w:hAnsi="Arial" w:cs="Arial"/>
              </w:rPr>
              <w:t>36.58</w:t>
            </w:r>
          </w:p>
        </w:tc>
      </w:tr>
      <w:tr w:rsidR="00A13974" w:rsidRPr="007A6353" w14:paraId="17E6D4CB"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6D8211E4" w14:textId="24C16EF0" w:rsidR="00A13974" w:rsidRPr="007A6353" w:rsidRDefault="00A13974" w:rsidP="00A13974">
            <w:pPr>
              <w:rPr>
                <w:rFonts w:ascii="Arial" w:hAnsi="Arial" w:cs="Arial"/>
                <w:color w:val="FF0000"/>
              </w:rPr>
            </w:pPr>
            <w:r w:rsidRPr="007A6353">
              <w:rPr>
                <w:rFonts w:ascii="Arial" w:hAnsi="Arial" w:cs="Arial"/>
              </w:rPr>
              <w:t>FE Colleges</w:t>
            </w:r>
          </w:p>
        </w:tc>
        <w:tc>
          <w:tcPr>
            <w:tcW w:w="1402" w:type="dxa"/>
            <w:tcBorders>
              <w:top w:val="nil"/>
              <w:left w:val="nil"/>
              <w:bottom w:val="single" w:sz="8" w:space="0" w:color="auto"/>
              <w:right w:val="single" w:sz="8" w:space="0" w:color="auto"/>
            </w:tcBorders>
            <w:shd w:val="clear" w:color="auto" w:fill="auto"/>
          </w:tcPr>
          <w:p w14:paraId="31F54B4B" w14:textId="7CD6816B" w:rsidR="00A13974" w:rsidRPr="007A6353" w:rsidRDefault="00A13974" w:rsidP="00A13974">
            <w:pPr>
              <w:jc w:val="right"/>
              <w:rPr>
                <w:rFonts w:ascii="Arial" w:hAnsi="Arial" w:cs="Arial"/>
                <w:color w:val="FF0000"/>
              </w:rPr>
            </w:pPr>
            <w:r w:rsidRPr="007A6353">
              <w:rPr>
                <w:rFonts w:ascii="Arial" w:hAnsi="Arial" w:cs="Arial"/>
              </w:rPr>
              <w:t>£2,115</w:t>
            </w:r>
          </w:p>
        </w:tc>
        <w:tc>
          <w:tcPr>
            <w:tcW w:w="1134" w:type="dxa"/>
            <w:tcBorders>
              <w:top w:val="nil"/>
              <w:left w:val="nil"/>
              <w:bottom w:val="single" w:sz="8" w:space="0" w:color="auto"/>
              <w:right w:val="single" w:sz="8" w:space="0" w:color="auto"/>
            </w:tcBorders>
            <w:shd w:val="clear" w:color="auto" w:fill="auto"/>
          </w:tcPr>
          <w:p w14:paraId="2A5652A4" w14:textId="6E0DD1E3" w:rsidR="00A13974" w:rsidRPr="00A13974" w:rsidRDefault="00A13974" w:rsidP="00A13974">
            <w:pPr>
              <w:jc w:val="right"/>
              <w:rPr>
                <w:rFonts w:ascii="Arial" w:hAnsi="Arial" w:cs="Arial"/>
                <w:color w:val="FF0000"/>
              </w:rPr>
            </w:pPr>
            <w:r w:rsidRPr="00A13974">
              <w:rPr>
                <w:rFonts w:ascii="Arial" w:hAnsi="Arial" w:cs="Arial"/>
              </w:rPr>
              <w:t>£2,360</w:t>
            </w:r>
          </w:p>
        </w:tc>
        <w:tc>
          <w:tcPr>
            <w:tcW w:w="1134" w:type="dxa"/>
            <w:tcBorders>
              <w:top w:val="nil"/>
              <w:left w:val="nil"/>
              <w:bottom w:val="single" w:sz="8" w:space="0" w:color="auto"/>
              <w:right w:val="single" w:sz="8" w:space="0" w:color="auto"/>
            </w:tcBorders>
            <w:shd w:val="clear" w:color="auto" w:fill="auto"/>
          </w:tcPr>
          <w:p w14:paraId="4CAD219D" w14:textId="2339EE26" w:rsidR="00A13974" w:rsidRPr="00A13974" w:rsidRDefault="00A13974" w:rsidP="00A13974">
            <w:pPr>
              <w:jc w:val="right"/>
              <w:rPr>
                <w:rFonts w:ascii="Arial" w:hAnsi="Arial" w:cs="Arial"/>
                <w:color w:val="FF0000"/>
              </w:rPr>
            </w:pPr>
            <w:r w:rsidRPr="00A13974">
              <w:rPr>
                <w:rFonts w:ascii="Arial" w:hAnsi="Arial" w:cs="Arial"/>
              </w:rPr>
              <w:t>£245</w:t>
            </w:r>
          </w:p>
        </w:tc>
        <w:tc>
          <w:tcPr>
            <w:tcW w:w="1125" w:type="dxa"/>
            <w:tcBorders>
              <w:top w:val="nil"/>
              <w:left w:val="nil"/>
              <w:bottom w:val="single" w:sz="8" w:space="0" w:color="auto"/>
              <w:right w:val="single" w:sz="8" w:space="0" w:color="auto"/>
            </w:tcBorders>
            <w:shd w:val="clear" w:color="auto" w:fill="auto"/>
          </w:tcPr>
          <w:p w14:paraId="28EF5B2E" w14:textId="0D18A5E4" w:rsidR="00A13974" w:rsidRPr="0033344F" w:rsidRDefault="0033344F" w:rsidP="00A13974">
            <w:pPr>
              <w:jc w:val="right"/>
              <w:rPr>
                <w:rFonts w:ascii="Arial" w:hAnsi="Arial" w:cs="Arial"/>
              </w:rPr>
            </w:pPr>
            <w:r w:rsidRPr="0033344F">
              <w:rPr>
                <w:rFonts w:ascii="Arial" w:hAnsi="Arial" w:cs="Arial"/>
              </w:rPr>
              <w:t>299.19</w:t>
            </w:r>
          </w:p>
        </w:tc>
        <w:tc>
          <w:tcPr>
            <w:tcW w:w="282" w:type="dxa"/>
            <w:tcBorders>
              <w:top w:val="nil"/>
              <w:left w:val="nil"/>
              <w:bottom w:val="single" w:sz="8" w:space="0" w:color="auto"/>
              <w:right w:val="single" w:sz="8" w:space="0" w:color="auto"/>
            </w:tcBorders>
            <w:shd w:val="clear" w:color="000000" w:fill="000000"/>
            <w:vAlign w:val="center"/>
          </w:tcPr>
          <w:p w14:paraId="0189B0B5" w14:textId="4E776DA3"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1A4CBDB0" w14:textId="195FB78D" w:rsidR="00A13974" w:rsidRPr="00832FFB" w:rsidRDefault="00A13974" w:rsidP="00A13974">
            <w:pPr>
              <w:jc w:val="right"/>
              <w:rPr>
                <w:rFonts w:ascii="Arial" w:hAnsi="Arial" w:cs="Arial"/>
                <w:color w:val="FF0000"/>
              </w:rPr>
            </w:pPr>
            <w:r w:rsidRPr="007A6353">
              <w:rPr>
                <w:rFonts w:ascii="Arial" w:hAnsi="Arial" w:cs="Arial"/>
              </w:rPr>
              <w:t>£2,290</w:t>
            </w:r>
          </w:p>
        </w:tc>
        <w:tc>
          <w:tcPr>
            <w:tcW w:w="1156" w:type="dxa"/>
            <w:tcBorders>
              <w:top w:val="nil"/>
              <w:left w:val="nil"/>
              <w:bottom w:val="single" w:sz="8" w:space="0" w:color="auto"/>
              <w:right w:val="single" w:sz="8" w:space="0" w:color="auto"/>
            </w:tcBorders>
            <w:shd w:val="clear" w:color="auto" w:fill="auto"/>
          </w:tcPr>
          <w:p w14:paraId="0D15C9AE" w14:textId="6517E123" w:rsidR="00A13974" w:rsidRPr="00832FFB" w:rsidRDefault="00A13974" w:rsidP="00A13974">
            <w:pPr>
              <w:jc w:val="right"/>
              <w:rPr>
                <w:rFonts w:ascii="Arial" w:hAnsi="Arial" w:cs="Arial"/>
                <w:color w:val="FF0000"/>
              </w:rPr>
            </w:pPr>
            <w:r w:rsidRPr="00832FFB">
              <w:rPr>
                <w:rFonts w:ascii="Arial" w:hAnsi="Arial" w:cs="Arial"/>
              </w:rPr>
              <w:t>254.48</w:t>
            </w:r>
          </w:p>
        </w:tc>
      </w:tr>
      <w:tr w:rsidR="00A13974" w:rsidRPr="007A6353" w14:paraId="29816E05"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0D7E30E6" w14:textId="75023EF0" w:rsidR="00A13974" w:rsidRPr="007A6353" w:rsidRDefault="00A13974" w:rsidP="00A13974">
            <w:pPr>
              <w:rPr>
                <w:rFonts w:ascii="Arial" w:hAnsi="Arial" w:cs="Arial"/>
                <w:color w:val="FF0000"/>
              </w:rPr>
            </w:pPr>
            <w:r w:rsidRPr="007A6353">
              <w:rPr>
                <w:rFonts w:ascii="Arial" w:hAnsi="Arial" w:cs="Arial"/>
              </w:rPr>
              <w:t>Early Years SEN Provision</w:t>
            </w:r>
          </w:p>
        </w:tc>
        <w:tc>
          <w:tcPr>
            <w:tcW w:w="1402" w:type="dxa"/>
            <w:tcBorders>
              <w:top w:val="nil"/>
              <w:left w:val="nil"/>
              <w:bottom w:val="single" w:sz="8" w:space="0" w:color="auto"/>
              <w:right w:val="single" w:sz="8" w:space="0" w:color="auto"/>
            </w:tcBorders>
            <w:shd w:val="clear" w:color="auto" w:fill="auto"/>
          </w:tcPr>
          <w:p w14:paraId="3D26ABC7" w14:textId="4A532EF3" w:rsidR="00A13974" w:rsidRPr="007A6353" w:rsidRDefault="00A13974" w:rsidP="00A13974">
            <w:pPr>
              <w:jc w:val="right"/>
              <w:rPr>
                <w:rFonts w:ascii="Arial" w:hAnsi="Arial" w:cs="Arial"/>
                <w:color w:val="FF0000"/>
              </w:rPr>
            </w:pPr>
            <w:r w:rsidRPr="007A6353">
              <w:rPr>
                <w:rFonts w:ascii="Arial" w:hAnsi="Arial" w:cs="Arial"/>
              </w:rPr>
              <w:t>£288</w:t>
            </w:r>
          </w:p>
        </w:tc>
        <w:tc>
          <w:tcPr>
            <w:tcW w:w="1134" w:type="dxa"/>
            <w:tcBorders>
              <w:top w:val="nil"/>
              <w:left w:val="nil"/>
              <w:bottom w:val="single" w:sz="8" w:space="0" w:color="auto"/>
              <w:right w:val="single" w:sz="8" w:space="0" w:color="auto"/>
            </w:tcBorders>
            <w:shd w:val="clear" w:color="auto" w:fill="auto"/>
          </w:tcPr>
          <w:p w14:paraId="0F98C6AD" w14:textId="0071E4E0" w:rsidR="00A13974" w:rsidRPr="00A13974" w:rsidRDefault="00A13974" w:rsidP="00A13974">
            <w:pPr>
              <w:jc w:val="right"/>
              <w:rPr>
                <w:rFonts w:ascii="Arial" w:hAnsi="Arial" w:cs="Arial"/>
                <w:color w:val="FF0000"/>
              </w:rPr>
            </w:pPr>
            <w:r w:rsidRPr="00A13974">
              <w:rPr>
                <w:rFonts w:ascii="Arial" w:hAnsi="Arial" w:cs="Arial"/>
              </w:rPr>
              <w:t>£243</w:t>
            </w:r>
          </w:p>
        </w:tc>
        <w:tc>
          <w:tcPr>
            <w:tcW w:w="1134" w:type="dxa"/>
            <w:tcBorders>
              <w:top w:val="nil"/>
              <w:left w:val="nil"/>
              <w:bottom w:val="single" w:sz="8" w:space="0" w:color="auto"/>
              <w:right w:val="single" w:sz="8" w:space="0" w:color="auto"/>
            </w:tcBorders>
            <w:shd w:val="clear" w:color="auto" w:fill="auto"/>
          </w:tcPr>
          <w:p w14:paraId="730AA0AE" w14:textId="2C661A47" w:rsidR="00A13974" w:rsidRPr="00A13974" w:rsidRDefault="00A13974" w:rsidP="00A13974">
            <w:pPr>
              <w:jc w:val="right"/>
              <w:rPr>
                <w:rFonts w:ascii="Arial" w:hAnsi="Arial" w:cs="Arial"/>
                <w:color w:val="FF0000"/>
              </w:rPr>
            </w:pPr>
            <w:r w:rsidRPr="00A13974">
              <w:rPr>
                <w:rFonts w:ascii="Arial" w:hAnsi="Arial" w:cs="Arial"/>
                <w:color w:val="FF0000"/>
              </w:rPr>
              <w:t>-£45</w:t>
            </w:r>
          </w:p>
        </w:tc>
        <w:tc>
          <w:tcPr>
            <w:tcW w:w="1125" w:type="dxa"/>
            <w:tcBorders>
              <w:top w:val="nil"/>
              <w:left w:val="nil"/>
              <w:bottom w:val="single" w:sz="8" w:space="0" w:color="auto"/>
              <w:right w:val="single" w:sz="8" w:space="0" w:color="auto"/>
            </w:tcBorders>
            <w:shd w:val="clear" w:color="auto" w:fill="auto"/>
          </w:tcPr>
          <w:p w14:paraId="79C31823" w14:textId="52852FF1" w:rsidR="00A13974" w:rsidRPr="0033344F" w:rsidRDefault="0033344F" w:rsidP="00A13974">
            <w:pPr>
              <w:jc w:val="right"/>
              <w:rPr>
                <w:rFonts w:ascii="Arial" w:hAnsi="Arial" w:cs="Arial"/>
              </w:rPr>
            </w:pPr>
            <w:r w:rsidRPr="0033344F">
              <w:rPr>
                <w:rFonts w:ascii="Arial" w:hAnsi="Arial" w:cs="Arial"/>
              </w:rPr>
              <w:t>41.13</w:t>
            </w:r>
          </w:p>
        </w:tc>
        <w:tc>
          <w:tcPr>
            <w:tcW w:w="282" w:type="dxa"/>
            <w:tcBorders>
              <w:top w:val="nil"/>
              <w:left w:val="nil"/>
              <w:bottom w:val="single" w:sz="8" w:space="0" w:color="auto"/>
              <w:right w:val="single" w:sz="8" w:space="0" w:color="auto"/>
            </w:tcBorders>
            <w:shd w:val="clear" w:color="000000" w:fill="000000"/>
            <w:vAlign w:val="center"/>
          </w:tcPr>
          <w:p w14:paraId="4C81EA54" w14:textId="61068A49" w:rsidR="00A13974" w:rsidRPr="00832FFB" w:rsidRDefault="00A13974" w:rsidP="00A13974">
            <w:pPr>
              <w:jc w:val="right"/>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2F077CD9" w14:textId="1CC94514" w:rsidR="00A13974" w:rsidRPr="00832FFB" w:rsidRDefault="00A13974" w:rsidP="00A13974">
            <w:pPr>
              <w:jc w:val="right"/>
              <w:rPr>
                <w:rFonts w:ascii="Arial" w:hAnsi="Arial" w:cs="Arial"/>
                <w:color w:val="FF0000"/>
              </w:rPr>
            </w:pPr>
            <w:r w:rsidRPr="007A6353">
              <w:rPr>
                <w:rFonts w:ascii="Arial" w:hAnsi="Arial" w:cs="Arial"/>
              </w:rPr>
              <w:t>£225</w:t>
            </w:r>
          </w:p>
        </w:tc>
        <w:tc>
          <w:tcPr>
            <w:tcW w:w="1156" w:type="dxa"/>
            <w:tcBorders>
              <w:top w:val="nil"/>
              <w:left w:val="nil"/>
              <w:bottom w:val="single" w:sz="8" w:space="0" w:color="auto"/>
              <w:right w:val="single" w:sz="8" w:space="0" w:color="auto"/>
            </w:tcBorders>
            <w:shd w:val="clear" w:color="auto" w:fill="auto"/>
          </w:tcPr>
          <w:p w14:paraId="4D4D4CA0" w14:textId="0252010B" w:rsidR="00A13974" w:rsidRPr="00832FFB" w:rsidRDefault="00A13974" w:rsidP="00A13974">
            <w:pPr>
              <w:jc w:val="right"/>
              <w:rPr>
                <w:rFonts w:ascii="Arial" w:hAnsi="Arial" w:cs="Arial"/>
                <w:color w:val="FF0000"/>
              </w:rPr>
            </w:pPr>
            <w:r w:rsidRPr="00832FFB">
              <w:rPr>
                <w:rFonts w:ascii="Arial" w:hAnsi="Arial" w:cs="Arial"/>
              </w:rPr>
              <w:t>42.46</w:t>
            </w:r>
          </w:p>
        </w:tc>
      </w:tr>
      <w:tr w:rsidR="00A13974" w:rsidRPr="007A6353" w14:paraId="7056E3EB"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65666BC3" w14:textId="094BF4C0" w:rsidR="00A13974" w:rsidRPr="007A6353" w:rsidRDefault="00A13974" w:rsidP="00A13974">
            <w:pPr>
              <w:rPr>
                <w:rFonts w:ascii="Arial" w:hAnsi="Arial" w:cs="Arial"/>
                <w:color w:val="FF0000"/>
              </w:rPr>
            </w:pPr>
            <w:r w:rsidRPr="007A6353">
              <w:rPr>
                <w:rFonts w:ascii="Arial" w:hAnsi="Arial" w:cs="Arial"/>
              </w:rPr>
              <w:t>EOTAS &amp; Alternative Provision</w:t>
            </w:r>
          </w:p>
        </w:tc>
        <w:tc>
          <w:tcPr>
            <w:tcW w:w="1402" w:type="dxa"/>
            <w:tcBorders>
              <w:top w:val="nil"/>
              <w:left w:val="nil"/>
              <w:bottom w:val="single" w:sz="8" w:space="0" w:color="auto"/>
              <w:right w:val="single" w:sz="8" w:space="0" w:color="auto"/>
            </w:tcBorders>
            <w:shd w:val="clear" w:color="auto" w:fill="auto"/>
          </w:tcPr>
          <w:p w14:paraId="25410FA7" w14:textId="61BA1FCA" w:rsidR="00A13974" w:rsidRPr="007A6353" w:rsidRDefault="00A13974" w:rsidP="00A13974">
            <w:pPr>
              <w:jc w:val="right"/>
              <w:rPr>
                <w:rFonts w:ascii="Arial" w:hAnsi="Arial" w:cs="Arial"/>
                <w:color w:val="FF0000"/>
              </w:rPr>
            </w:pPr>
            <w:r w:rsidRPr="007A6353">
              <w:rPr>
                <w:rFonts w:ascii="Arial" w:hAnsi="Arial" w:cs="Arial"/>
              </w:rPr>
              <w:t>£338</w:t>
            </w:r>
          </w:p>
        </w:tc>
        <w:tc>
          <w:tcPr>
            <w:tcW w:w="1134" w:type="dxa"/>
            <w:tcBorders>
              <w:top w:val="nil"/>
              <w:left w:val="nil"/>
              <w:bottom w:val="single" w:sz="8" w:space="0" w:color="auto"/>
              <w:right w:val="single" w:sz="8" w:space="0" w:color="auto"/>
            </w:tcBorders>
            <w:shd w:val="clear" w:color="auto" w:fill="auto"/>
          </w:tcPr>
          <w:p w14:paraId="4C023E27" w14:textId="640AD269" w:rsidR="00A13974" w:rsidRPr="00A13974" w:rsidRDefault="00A13974" w:rsidP="00A13974">
            <w:pPr>
              <w:jc w:val="right"/>
              <w:rPr>
                <w:rFonts w:ascii="Arial" w:hAnsi="Arial" w:cs="Arial"/>
                <w:color w:val="FF0000"/>
              </w:rPr>
            </w:pPr>
            <w:r w:rsidRPr="00A13974">
              <w:rPr>
                <w:rFonts w:ascii="Arial" w:hAnsi="Arial" w:cs="Arial"/>
              </w:rPr>
              <w:t>£379</w:t>
            </w:r>
          </w:p>
        </w:tc>
        <w:tc>
          <w:tcPr>
            <w:tcW w:w="1134" w:type="dxa"/>
            <w:tcBorders>
              <w:top w:val="nil"/>
              <w:left w:val="nil"/>
              <w:bottom w:val="single" w:sz="8" w:space="0" w:color="auto"/>
              <w:right w:val="single" w:sz="8" w:space="0" w:color="auto"/>
            </w:tcBorders>
            <w:shd w:val="clear" w:color="auto" w:fill="auto"/>
          </w:tcPr>
          <w:p w14:paraId="0D1738C2" w14:textId="0E36E977" w:rsidR="00A13974" w:rsidRPr="00A13974" w:rsidRDefault="00A13974" w:rsidP="00A13974">
            <w:pPr>
              <w:jc w:val="right"/>
              <w:rPr>
                <w:rFonts w:ascii="Arial" w:hAnsi="Arial" w:cs="Arial"/>
                <w:color w:val="FF0000"/>
              </w:rPr>
            </w:pPr>
            <w:r w:rsidRPr="00A13974">
              <w:rPr>
                <w:rFonts w:ascii="Arial" w:hAnsi="Arial" w:cs="Arial"/>
              </w:rPr>
              <w:t>£42</w:t>
            </w:r>
          </w:p>
        </w:tc>
        <w:tc>
          <w:tcPr>
            <w:tcW w:w="1125" w:type="dxa"/>
            <w:tcBorders>
              <w:top w:val="nil"/>
              <w:left w:val="nil"/>
              <w:bottom w:val="single" w:sz="8" w:space="0" w:color="auto"/>
              <w:right w:val="single" w:sz="8" w:space="0" w:color="auto"/>
            </w:tcBorders>
            <w:shd w:val="clear" w:color="auto" w:fill="auto"/>
          </w:tcPr>
          <w:p w14:paraId="4EE9351B" w14:textId="48C802C6" w:rsidR="00A13974" w:rsidRPr="0033344F" w:rsidRDefault="00A13974" w:rsidP="00A13974">
            <w:pPr>
              <w:jc w:val="right"/>
              <w:rPr>
                <w:rFonts w:ascii="Arial" w:hAnsi="Arial" w:cs="Arial"/>
              </w:rPr>
            </w:pPr>
          </w:p>
        </w:tc>
        <w:tc>
          <w:tcPr>
            <w:tcW w:w="282" w:type="dxa"/>
            <w:tcBorders>
              <w:top w:val="nil"/>
              <w:left w:val="nil"/>
              <w:bottom w:val="single" w:sz="8" w:space="0" w:color="auto"/>
              <w:right w:val="single" w:sz="8" w:space="0" w:color="auto"/>
            </w:tcBorders>
            <w:shd w:val="clear" w:color="000000" w:fill="000000"/>
            <w:vAlign w:val="center"/>
          </w:tcPr>
          <w:p w14:paraId="63A72359" w14:textId="572F3318"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1E0405AB" w14:textId="743DBF4B" w:rsidR="00A13974" w:rsidRPr="00832FFB" w:rsidRDefault="00A13974" w:rsidP="00A13974">
            <w:pPr>
              <w:jc w:val="right"/>
              <w:rPr>
                <w:rFonts w:ascii="Arial" w:hAnsi="Arial" w:cs="Arial"/>
                <w:color w:val="FF0000"/>
              </w:rPr>
            </w:pPr>
            <w:r w:rsidRPr="007A6353">
              <w:rPr>
                <w:rFonts w:ascii="Arial" w:hAnsi="Arial" w:cs="Arial"/>
              </w:rPr>
              <w:t>£367</w:t>
            </w:r>
          </w:p>
        </w:tc>
        <w:tc>
          <w:tcPr>
            <w:tcW w:w="1156" w:type="dxa"/>
            <w:tcBorders>
              <w:top w:val="nil"/>
              <w:left w:val="nil"/>
              <w:bottom w:val="single" w:sz="8" w:space="0" w:color="auto"/>
              <w:right w:val="single" w:sz="8" w:space="0" w:color="auto"/>
            </w:tcBorders>
            <w:shd w:val="clear" w:color="auto" w:fill="auto"/>
          </w:tcPr>
          <w:p w14:paraId="1B5A4006" w14:textId="77B5DDEE" w:rsidR="00A13974" w:rsidRPr="00832FFB" w:rsidRDefault="00A13974" w:rsidP="00A13974">
            <w:pPr>
              <w:jc w:val="right"/>
              <w:rPr>
                <w:rFonts w:ascii="Arial" w:hAnsi="Arial" w:cs="Arial"/>
                <w:color w:val="FF0000"/>
              </w:rPr>
            </w:pPr>
          </w:p>
        </w:tc>
      </w:tr>
      <w:tr w:rsidR="00A13974" w:rsidRPr="007A6353" w14:paraId="1C4B4D48"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5072A1FC" w14:textId="0E41BBF8" w:rsidR="00A13974" w:rsidRPr="007A6353" w:rsidRDefault="00A13974" w:rsidP="00A13974">
            <w:pPr>
              <w:rPr>
                <w:rFonts w:ascii="Arial" w:hAnsi="Arial" w:cs="Arial"/>
                <w:color w:val="FF0000"/>
              </w:rPr>
            </w:pPr>
            <w:r w:rsidRPr="007A6353">
              <w:rPr>
                <w:rFonts w:ascii="Arial" w:hAnsi="Arial" w:cs="Arial"/>
              </w:rPr>
              <w:t>Pupil Referral Unit</w:t>
            </w:r>
          </w:p>
        </w:tc>
        <w:tc>
          <w:tcPr>
            <w:tcW w:w="1402" w:type="dxa"/>
            <w:tcBorders>
              <w:top w:val="nil"/>
              <w:left w:val="nil"/>
              <w:bottom w:val="single" w:sz="8" w:space="0" w:color="auto"/>
              <w:right w:val="single" w:sz="8" w:space="0" w:color="auto"/>
            </w:tcBorders>
            <w:shd w:val="clear" w:color="auto" w:fill="auto"/>
          </w:tcPr>
          <w:p w14:paraId="58BD24E0" w14:textId="482CB373" w:rsidR="00A13974" w:rsidRPr="007A6353" w:rsidRDefault="00A13974" w:rsidP="00A13974">
            <w:pPr>
              <w:jc w:val="right"/>
              <w:rPr>
                <w:rFonts w:ascii="Arial" w:hAnsi="Arial" w:cs="Arial"/>
                <w:color w:val="FF0000"/>
              </w:rPr>
            </w:pPr>
            <w:r w:rsidRPr="007A6353">
              <w:rPr>
                <w:rFonts w:ascii="Arial" w:hAnsi="Arial" w:cs="Arial"/>
              </w:rPr>
              <w:t>£1,437</w:t>
            </w:r>
          </w:p>
        </w:tc>
        <w:tc>
          <w:tcPr>
            <w:tcW w:w="1134" w:type="dxa"/>
            <w:tcBorders>
              <w:top w:val="nil"/>
              <w:left w:val="nil"/>
              <w:bottom w:val="single" w:sz="8" w:space="0" w:color="auto"/>
              <w:right w:val="single" w:sz="8" w:space="0" w:color="auto"/>
            </w:tcBorders>
            <w:shd w:val="clear" w:color="auto" w:fill="auto"/>
          </w:tcPr>
          <w:p w14:paraId="6B3C8787" w14:textId="6BA737D2" w:rsidR="00A13974" w:rsidRPr="00A13974" w:rsidRDefault="00A13974" w:rsidP="00A13974">
            <w:pPr>
              <w:jc w:val="right"/>
              <w:rPr>
                <w:rFonts w:ascii="Arial" w:hAnsi="Arial" w:cs="Arial"/>
                <w:color w:val="FF0000"/>
              </w:rPr>
            </w:pPr>
            <w:r w:rsidRPr="00A13974">
              <w:rPr>
                <w:rFonts w:ascii="Arial" w:hAnsi="Arial" w:cs="Arial"/>
              </w:rPr>
              <w:t>£1,437</w:t>
            </w:r>
          </w:p>
        </w:tc>
        <w:tc>
          <w:tcPr>
            <w:tcW w:w="1134" w:type="dxa"/>
            <w:tcBorders>
              <w:top w:val="nil"/>
              <w:left w:val="nil"/>
              <w:bottom w:val="single" w:sz="8" w:space="0" w:color="auto"/>
              <w:right w:val="single" w:sz="8" w:space="0" w:color="auto"/>
            </w:tcBorders>
            <w:shd w:val="clear" w:color="auto" w:fill="auto"/>
          </w:tcPr>
          <w:p w14:paraId="0C28444D" w14:textId="091558F8" w:rsidR="00A13974" w:rsidRPr="00A13974" w:rsidRDefault="00A13974" w:rsidP="00A13974">
            <w:pPr>
              <w:jc w:val="right"/>
              <w:rPr>
                <w:rFonts w:ascii="Arial" w:hAnsi="Arial" w:cs="Arial"/>
                <w:color w:val="FF0000"/>
              </w:rPr>
            </w:pPr>
            <w:r w:rsidRPr="00A13974">
              <w:rPr>
                <w:rFonts w:ascii="Arial" w:hAnsi="Arial" w:cs="Arial"/>
              </w:rPr>
              <w:t>£0</w:t>
            </w:r>
          </w:p>
        </w:tc>
        <w:tc>
          <w:tcPr>
            <w:tcW w:w="1125" w:type="dxa"/>
            <w:tcBorders>
              <w:top w:val="nil"/>
              <w:left w:val="nil"/>
              <w:bottom w:val="single" w:sz="8" w:space="0" w:color="auto"/>
              <w:right w:val="single" w:sz="8" w:space="0" w:color="auto"/>
            </w:tcBorders>
            <w:shd w:val="clear" w:color="auto" w:fill="auto"/>
          </w:tcPr>
          <w:p w14:paraId="7FD0F3FE" w14:textId="22657F74" w:rsidR="00A13974" w:rsidRPr="0033344F" w:rsidRDefault="0033344F" w:rsidP="00A13974">
            <w:pPr>
              <w:jc w:val="right"/>
              <w:rPr>
                <w:rFonts w:ascii="Arial" w:hAnsi="Arial" w:cs="Arial"/>
              </w:rPr>
            </w:pPr>
            <w:r w:rsidRPr="0033344F">
              <w:rPr>
                <w:rFonts w:ascii="Arial" w:hAnsi="Arial" w:cs="Arial"/>
              </w:rPr>
              <w:t>74.00</w:t>
            </w:r>
          </w:p>
        </w:tc>
        <w:tc>
          <w:tcPr>
            <w:tcW w:w="282" w:type="dxa"/>
            <w:tcBorders>
              <w:top w:val="nil"/>
              <w:left w:val="nil"/>
              <w:bottom w:val="single" w:sz="8" w:space="0" w:color="auto"/>
              <w:right w:val="single" w:sz="8" w:space="0" w:color="auto"/>
            </w:tcBorders>
            <w:shd w:val="clear" w:color="000000" w:fill="000000"/>
            <w:vAlign w:val="center"/>
          </w:tcPr>
          <w:p w14:paraId="0E2D560E" w14:textId="77945C55"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7C4B1772" w14:textId="6419D452" w:rsidR="00A13974" w:rsidRPr="00832FFB" w:rsidRDefault="00A13974" w:rsidP="00A13974">
            <w:pPr>
              <w:jc w:val="right"/>
              <w:rPr>
                <w:rFonts w:ascii="Arial" w:hAnsi="Arial" w:cs="Arial"/>
                <w:color w:val="FF0000"/>
              </w:rPr>
            </w:pPr>
            <w:r w:rsidRPr="007A6353">
              <w:rPr>
                <w:rFonts w:ascii="Arial" w:hAnsi="Arial" w:cs="Arial"/>
              </w:rPr>
              <w:t>£1,437</w:t>
            </w:r>
          </w:p>
        </w:tc>
        <w:tc>
          <w:tcPr>
            <w:tcW w:w="1156" w:type="dxa"/>
            <w:tcBorders>
              <w:top w:val="nil"/>
              <w:left w:val="nil"/>
              <w:bottom w:val="single" w:sz="8" w:space="0" w:color="auto"/>
              <w:right w:val="single" w:sz="8" w:space="0" w:color="auto"/>
            </w:tcBorders>
            <w:shd w:val="clear" w:color="auto" w:fill="auto"/>
          </w:tcPr>
          <w:p w14:paraId="67CF71BD" w14:textId="2CE76EEB" w:rsidR="00A13974" w:rsidRPr="00832FFB" w:rsidRDefault="00A13974" w:rsidP="00A13974">
            <w:pPr>
              <w:jc w:val="right"/>
              <w:rPr>
                <w:rFonts w:ascii="Arial" w:hAnsi="Arial" w:cs="Arial"/>
                <w:color w:val="FF0000"/>
              </w:rPr>
            </w:pPr>
            <w:r w:rsidRPr="00832FFB">
              <w:rPr>
                <w:rFonts w:ascii="Arial" w:hAnsi="Arial" w:cs="Arial"/>
              </w:rPr>
              <w:t>74.00</w:t>
            </w:r>
          </w:p>
        </w:tc>
      </w:tr>
      <w:tr w:rsidR="00A13974" w:rsidRPr="007A6353" w14:paraId="42C91D0E"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0FE09308" w14:textId="200C5679" w:rsidR="00A13974" w:rsidRPr="007A6353" w:rsidRDefault="00A13974" w:rsidP="00A13974">
            <w:pPr>
              <w:rPr>
                <w:rFonts w:ascii="Arial" w:hAnsi="Arial" w:cs="Arial"/>
                <w:color w:val="FF0000"/>
              </w:rPr>
            </w:pPr>
            <w:r w:rsidRPr="007A6353">
              <w:rPr>
                <w:rFonts w:ascii="Arial" w:hAnsi="Arial" w:cs="Arial"/>
              </w:rPr>
              <w:t>PFI Special Schools</w:t>
            </w:r>
          </w:p>
        </w:tc>
        <w:tc>
          <w:tcPr>
            <w:tcW w:w="1402" w:type="dxa"/>
            <w:tcBorders>
              <w:top w:val="nil"/>
              <w:left w:val="nil"/>
              <w:bottom w:val="single" w:sz="8" w:space="0" w:color="auto"/>
              <w:right w:val="single" w:sz="8" w:space="0" w:color="auto"/>
            </w:tcBorders>
            <w:shd w:val="clear" w:color="auto" w:fill="auto"/>
          </w:tcPr>
          <w:p w14:paraId="35756583" w14:textId="4AE86D4C" w:rsidR="00A13974" w:rsidRPr="007A6353" w:rsidRDefault="00A13974" w:rsidP="00A13974">
            <w:pPr>
              <w:jc w:val="right"/>
              <w:rPr>
                <w:rFonts w:ascii="Arial" w:hAnsi="Arial" w:cs="Arial"/>
                <w:color w:val="FF0000"/>
              </w:rPr>
            </w:pPr>
            <w:r w:rsidRPr="007A6353">
              <w:rPr>
                <w:rFonts w:ascii="Arial" w:hAnsi="Arial" w:cs="Arial"/>
              </w:rPr>
              <w:t>£449</w:t>
            </w:r>
          </w:p>
        </w:tc>
        <w:tc>
          <w:tcPr>
            <w:tcW w:w="1134" w:type="dxa"/>
            <w:tcBorders>
              <w:top w:val="nil"/>
              <w:left w:val="nil"/>
              <w:bottom w:val="single" w:sz="8" w:space="0" w:color="auto"/>
              <w:right w:val="single" w:sz="8" w:space="0" w:color="auto"/>
            </w:tcBorders>
            <w:shd w:val="clear" w:color="auto" w:fill="auto"/>
          </w:tcPr>
          <w:p w14:paraId="73C410A1" w14:textId="1302E84E" w:rsidR="00A13974" w:rsidRPr="00A13974" w:rsidRDefault="00A13974" w:rsidP="00A13974">
            <w:pPr>
              <w:jc w:val="right"/>
              <w:rPr>
                <w:rFonts w:ascii="Arial" w:hAnsi="Arial" w:cs="Arial"/>
                <w:color w:val="FF0000"/>
              </w:rPr>
            </w:pPr>
            <w:r w:rsidRPr="00A13974">
              <w:rPr>
                <w:rFonts w:ascii="Arial" w:hAnsi="Arial" w:cs="Arial"/>
              </w:rPr>
              <w:t>£449</w:t>
            </w:r>
          </w:p>
        </w:tc>
        <w:tc>
          <w:tcPr>
            <w:tcW w:w="1134" w:type="dxa"/>
            <w:tcBorders>
              <w:top w:val="nil"/>
              <w:left w:val="nil"/>
              <w:bottom w:val="single" w:sz="8" w:space="0" w:color="auto"/>
              <w:right w:val="single" w:sz="8" w:space="0" w:color="auto"/>
            </w:tcBorders>
            <w:shd w:val="clear" w:color="auto" w:fill="auto"/>
          </w:tcPr>
          <w:p w14:paraId="43BED99D" w14:textId="7196B360" w:rsidR="00A13974" w:rsidRPr="00A13974" w:rsidRDefault="00A13974" w:rsidP="00A13974">
            <w:pPr>
              <w:jc w:val="right"/>
              <w:rPr>
                <w:rFonts w:ascii="Arial" w:hAnsi="Arial" w:cs="Arial"/>
                <w:color w:val="FF0000"/>
              </w:rPr>
            </w:pPr>
            <w:r w:rsidRPr="00A13974">
              <w:rPr>
                <w:rFonts w:ascii="Arial" w:hAnsi="Arial" w:cs="Arial"/>
              </w:rPr>
              <w:t>£0</w:t>
            </w:r>
          </w:p>
        </w:tc>
        <w:tc>
          <w:tcPr>
            <w:tcW w:w="1125" w:type="dxa"/>
            <w:tcBorders>
              <w:top w:val="nil"/>
              <w:left w:val="nil"/>
              <w:bottom w:val="single" w:sz="8" w:space="0" w:color="auto"/>
              <w:right w:val="single" w:sz="8" w:space="0" w:color="auto"/>
            </w:tcBorders>
            <w:shd w:val="clear" w:color="auto" w:fill="auto"/>
          </w:tcPr>
          <w:p w14:paraId="0BAF2FE2" w14:textId="3D5168E6" w:rsidR="00A13974" w:rsidRPr="0033344F" w:rsidRDefault="00A13974" w:rsidP="00A13974">
            <w:pPr>
              <w:jc w:val="right"/>
              <w:rPr>
                <w:rFonts w:ascii="Arial" w:hAnsi="Arial" w:cs="Arial"/>
              </w:rPr>
            </w:pPr>
          </w:p>
        </w:tc>
        <w:tc>
          <w:tcPr>
            <w:tcW w:w="282" w:type="dxa"/>
            <w:tcBorders>
              <w:top w:val="nil"/>
              <w:left w:val="nil"/>
              <w:bottom w:val="single" w:sz="8" w:space="0" w:color="auto"/>
              <w:right w:val="single" w:sz="8" w:space="0" w:color="auto"/>
            </w:tcBorders>
            <w:shd w:val="clear" w:color="000000" w:fill="000000"/>
            <w:vAlign w:val="center"/>
          </w:tcPr>
          <w:p w14:paraId="5ACCAE64" w14:textId="23EFB076"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794B227E" w14:textId="068E82C8" w:rsidR="00A13974" w:rsidRPr="00832FFB" w:rsidRDefault="00A13974" w:rsidP="00A13974">
            <w:pPr>
              <w:jc w:val="right"/>
              <w:rPr>
                <w:rFonts w:ascii="Arial" w:hAnsi="Arial" w:cs="Arial"/>
                <w:color w:val="FF0000"/>
              </w:rPr>
            </w:pPr>
            <w:r w:rsidRPr="007A6353">
              <w:rPr>
                <w:rFonts w:ascii="Arial" w:hAnsi="Arial" w:cs="Arial"/>
              </w:rPr>
              <w:t>£449</w:t>
            </w:r>
          </w:p>
        </w:tc>
        <w:tc>
          <w:tcPr>
            <w:tcW w:w="1156" w:type="dxa"/>
            <w:tcBorders>
              <w:top w:val="nil"/>
              <w:left w:val="nil"/>
              <w:bottom w:val="single" w:sz="8" w:space="0" w:color="auto"/>
              <w:right w:val="single" w:sz="8" w:space="0" w:color="auto"/>
            </w:tcBorders>
            <w:shd w:val="clear" w:color="auto" w:fill="auto"/>
          </w:tcPr>
          <w:p w14:paraId="527738C1" w14:textId="51172808" w:rsidR="00A13974" w:rsidRPr="00832FFB" w:rsidRDefault="00A13974" w:rsidP="00A13974">
            <w:pPr>
              <w:jc w:val="right"/>
              <w:rPr>
                <w:rFonts w:ascii="Arial" w:hAnsi="Arial" w:cs="Arial"/>
                <w:color w:val="FF0000"/>
              </w:rPr>
            </w:pPr>
          </w:p>
        </w:tc>
      </w:tr>
      <w:tr w:rsidR="00A13974" w:rsidRPr="007A6353" w14:paraId="1A493F30"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386C6CDD" w14:textId="7A9A7E48" w:rsidR="00A13974" w:rsidRPr="007A6353" w:rsidRDefault="00A13974" w:rsidP="00A13974">
            <w:pPr>
              <w:rPr>
                <w:rFonts w:ascii="Arial" w:hAnsi="Arial" w:cs="Arial"/>
                <w:color w:val="FF0000"/>
              </w:rPr>
            </w:pPr>
            <w:r w:rsidRPr="007A6353">
              <w:rPr>
                <w:rFonts w:ascii="Arial" w:hAnsi="Arial" w:cs="Arial"/>
              </w:rPr>
              <w:t>Sensory Teams</w:t>
            </w:r>
          </w:p>
        </w:tc>
        <w:tc>
          <w:tcPr>
            <w:tcW w:w="1402" w:type="dxa"/>
            <w:tcBorders>
              <w:top w:val="nil"/>
              <w:left w:val="nil"/>
              <w:bottom w:val="single" w:sz="8" w:space="0" w:color="auto"/>
              <w:right w:val="single" w:sz="8" w:space="0" w:color="auto"/>
            </w:tcBorders>
            <w:shd w:val="clear" w:color="auto" w:fill="auto"/>
          </w:tcPr>
          <w:p w14:paraId="32993EC4" w14:textId="2FBB5A1A" w:rsidR="00A13974" w:rsidRPr="007A6353" w:rsidRDefault="00A13974" w:rsidP="00A13974">
            <w:pPr>
              <w:jc w:val="right"/>
              <w:rPr>
                <w:rFonts w:ascii="Arial" w:hAnsi="Arial" w:cs="Arial"/>
                <w:color w:val="FF0000"/>
              </w:rPr>
            </w:pPr>
            <w:r w:rsidRPr="007A6353">
              <w:rPr>
                <w:rFonts w:ascii="Arial" w:hAnsi="Arial" w:cs="Arial"/>
              </w:rPr>
              <w:t>£1,151</w:t>
            </w:r>
          </w:p>
        </w:tc>
        <w:tc>
          <w:tcPr>
            <w:tcW w:w="1134" w:type="dxa"/>
            <w:tcBorders>
              <w:top w:val="nil"/>
              <w:left w:val="nil"/>
              <w:bottom w:val="single" w:sz="8" w:space="0" w:color="auto"/>
              <w:right w:val="single" w:sz="8" w:space="0" w:color="auto"/>
            </w:tcBorders>
            <w:shd w:val="clear" w:color="auto" w:fill="auto"/>
          </w:tcPr>
          <w:p w14:paraId="3C09AEEF" w14:textId="3D6C6F2C" w:rsidR="00A13974" w:rsidRPr="00A13974" w:rsidRDefault="00A13974" w:rsidP="00A13974">
            <w:pPr>
              <w:jc w:val="right"/>
              <w:rPr>
                <w:rFonts w:ascii="Arial" w:hAnsi="Arial" w:cs="Arial"/>
                <w:color w:val="FF0000"/>
              </w:rPr>
            </w:pPr>
            <w:r w:rsidRPr="00A13974">
              <w:rPr>
                <w:rFonts w:ascii="Arial" w:hAnsi="Arial" w:cs="Arial"/>
              </w:rPr>
              <w:t>£1,151</w:t>
            </w:r>
          </w:p>
        </w:tc>
        <w:tc>
          <w:tcPr>
            <w:tcW w:w="1134" w:type="dxa"/>
            <w:tcBorders>
              <w:top w:val="nil"/>
              <w:left w:val="nil"/>
              <w:bottom w:val="single" w:sz="8" w:space="0" w:color="auto"/>
              <w:right w:val="single" w:sz="8" w:space="0" w:color="auto"/>
            </w:tcBorders>
            <w:shd w:val="clear" w:color="auto" w:fill="auto"/>
          </w:tcPr>
          <w:p w14:paraId="5A88D679" w14:textId="03F1CA39" w:rsidR="00A13974" w:rsidRPr="00A13974" w:rsidRDefault="00A13974" w:rsidP="00A13974">
            <w:pPr>
              <w:jc w:val="right"/>
              <w:rPr>
                <w:rFonts w:ascii="Arial" w:hAnsi="Arial" w:cs="Arial"/>
                <w:color w:val="FF0000"/>
              </w:rPr>
            </w:pPr>
            <w:r w:rsidRPr="00A13974">
              <w:rPr>
                <w:rFonts w:ascii="Arial" w:hAnsi="Arial" w:cs="Arial"/>
              </w:rPr>
              <w:t>£0</w:t>
            </w:r>
          </w:p>
        </w:tc>
        <w:tc>
          <w:tcPr>
            <w:tcW w:w="1125" w:type="dxa"/>
            <w:tcBorders>
              <w:top w:val="nil"/>
              <w:left w:val="nil"/>
              <w:bottom w:val="single" w:sz="8" w:space="0" w:color="auto"/>
              <w:right w:val="single" w:sz="8" w:space="0" w:color="auto"/>
            </w:tcBorders>
            <w:shd w:val="clear" w:color="auto" w:fill="auto"/>
          </w:tcPr>
          <w:p w14:paraId="4E98BD04" w14:textId="63391148" w:rsidR="00A13974" w:rsidRPr="0033344F" w:rsidRDefault="00A13974" w:rsidP="00A13974">
            <w:pPr>
              <w:rPr>
                <w:rFonts w:ascii="Arial" w:hAnsi="Arial" w:cs="Arial"/>
              </w:rPr>
            </w:pPr>
          </w:p>
        </w:tc>
        <w:tc>
          <w:tcPr>
            <w:tcW w:w="282" w:type="dxa"/>
            <w:tcBorders>
              <w:top w:val="nil"/>
              <w:left w:val="nil"/>
              <w:bottom w:val="single" w:sz="8" w:space="0" w:color="auto"/>
              <w:right w:val="single" w:sz="8" w:space="0" w:color="auto"/>
            </w:tcBorders>
            <w:shd w:val="clear" w:color="000000" w:fill="000000"/>
            <w:vAlign w:val="center"/>
          </w:tcPr>
          <w:p w14:paraId="54983338" w14:textId="252A4F83" w:rsidR="00A13974" w:rsidRPr="00832FFB" w:rsidRDefault="00A13974" w:rsidP="00A13974">
            <w:pPr>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6DF1D357" w14:textId="2965B31C" w:rsidR="00A13974" w:rsidRPr="00832FFB" w:rsidRDefault="00A13974" w:rsidP="00A13974">
            <w:pPr>
              <w:jc w:val="right"/>
              <w:rPr>
                <w:rFonts w:ascii="Arial" w:hAnsi="Arial" w:cs="Arial"/>
                <w:color w:val="FF0000"/>
              </w:rPr>
            </w:pPr>
            <w:r w:rsidRPr="007A6353">
              <w:rPr>
                <w:rFonts w:ascii="Arial" w:hAnsi="Arial" w:cs="Arial"/>
              </w:rPr>
              <w:t>£1,151</w:t>
            </w:r>
          </w:p>
        </w:tc>
        <w:tc>
          <w:tcPr>
            <w:tcW w:w="1156" w:type="dxa"/>
            <w:tcBorders>
              <w:top w:val="nil"/>
              <w:left w:val="nil"/>
              <w:bottom w:val="single" w:sz="8" w:space="0" w:color="auto"/>
              <w:right w:val="single" w:sz="8" w:space="0" w:color="auto"/>
            </w:tcBorders>
            <w:shd w:val="clear" w:color="auto" w:fill="auto"/>
          </w:tcPr>
          <w:p w14:paraId="7145B54D" w14:textId="77321319" w:rsidR="00A13974" w:rsidRPr="00832FFB" w:rsidRDefault="00A13974" w:rsidP="00A13974">
            <w:pPr>
              <w:jc w:val="right"/>
              <w:rPr>
                <w:rFonts w:ascii="Arial" w:hAnsi="Arial" w:cs="Arial"/>
                <w:color w:val="FF0000"/>
              </w:rPr>
            </w:pPr>
          </w:p>
        </w:tc>
      </w:tr>
      <w:tr w:rsidR="00A13974" w:rsidRPr="007A6353" w14:paraId="5936DB61"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0709E3CA" w14:textId="4FDCE1DB" w:rsidR="00A13974" w:rsidRPr="007A6353" w:rsidRDefault="00A13974" w:rsidP="00A13974">
            <w:pPr>
              <w:rPr>
                <w:rFonts w:ascii="Arial" w:hAnsi="Arial" w:cs="Arial"/>
                <w:color w:val="FF0000"/>
              </w:rPr>
            </w:pPr>
            <w:r w:rsidRPr="007A6353">
              <w:rPr>
                <w:rFonts w:ascii="Arial" w:hAnsi="Arial" w:cs="Arial"/>
              </w:rPr>
              <w:t>SEN Transport</w:t>
            </w:r>
          </w:p>
        </w:tc>
        <w:tc>
          <w:tcPr>
            <w:tcW w:w="1402" w:type="dxa"/>
            <w:tcBorders>
              <w:top w:val="nil"/>
              <w:left w:val="nil"/>
              <w:bottom w:val="single" w:sz="8" w:space="0" w:color="auto"/>
              <w:right w:val="single" w:sz="8" w:space="0" w:color="auto"/>
            </w:tcBorders>
            <w:shd w:val="clear" w:color="auto" w:fill="auto"/>
          </w:tcPr>
          <w:p w14:paraId="21747D93" w14:textId="6D649A64" w:rsidR="00A13974" w:rsidRPr="007A6353" w:rsidRDefault="00A13974" w:rsidP="00A13974">
            <w:pPr>
              <w:jc w:val="right"/>
              <w:rPr>
                <w:rFonts w:ascii="Arial" w:hAnsi="Arial" w:cs="Arial"/>
                <w:color w:val="FF0000"/>
              </w:rPr>
            </w:pPr>
            <w:r w:rsidRPr="007A6353">
              <w:rPr>
                <w:rFonts w:ascii="Arial" w:hAnsi="Arial" w:cs="Arial"/>
              </w:rPr>
              <w:t>£187</w:t>
            </w:r>
          </w:p>
        </w:tc>
        <w:tc>
          <w:tcPr>
            <w:tcW w:w="1134" w:type="dxa"/>
            <w:tcBorders>
              <w:top w:val="nil"/>
              <w:left w:val="nil"/>
              <w:bottom w:val="single" w:sz="8" w:space="0" w:color="auto"/>
              <w:right w:val="single" w:sz="8" w:space="0" w:color="auto"/>
            </w:tcBorders>
            <w:shd w:val="clear" w:color="auto" w:fill="auto"/>
          </w:tcPr>
          <w:p w14:paraId="0D0224EE" w14:textId="6DE79B03" w:rsidR="00A13974" w:rsidRPr="00A13974" w:rsidRDefault="00A13974" w:rsidP="00A13974">
            <w:pPr>
              <w:jc w:val="right"/>
              <w:rPr>
                <w:rFonts w:ascii="Arial" w:hAnsi="Arial" w:cs="Arial"/>
                <w:color w:val="FF0000"/>
              </w:rPr>
            </w:pPr>
            <w:r w:rsidRPr="00A13974">
              <w:rPr>
                <w:rFonts w:ascii="Arial" w:hAnsi="Arial" w:cs="Arial"/>
              </w:rPr>
              <w:t>£187</w:t>
            </w:r>
          </w:p>
        </w:tc>
        <w:tc>
          <w:tcPr>
            <w:tcW w:w="1134" w:type="dxa"/>
            <w:tcBorders>
              <w:top w:val="nil"/>
              <w:left w:val="nil"/>
              <w:bottom w:val="single" w:sz="8" w:space="0" w:color="auto"/>
              <w:right w:val="single" w:sz="8" w:space="0" w:color="auto"/>
            </w:tcBorders>
            <w:shd w:val="clear" w:color="auto" w:fill="auto"/>
          </w:tcPr>
          <w:p w14:paraId="264F7E9A" w14:textId="6932A5AB" w:rsidR="00A13974" w:rsidRPr="00A13974" w:rsidRDefault="00A13974" w:rsidP="00A13974">
            <w:pPr>
              <w:jc w:val="right"/>
              <w:rPr>
                <w:rFonts w:ascii="Arial" w:hAnsi="Arial" w:cs="Arial"/>
                <w:color w:val="FF0000"/>
              </w:rPr>
            </w:pPr>
            <w:r w:rsidRPr="00A13974">
              <w:rPr>
                <w:rFonts w:ascii="Arial" w:hAnsi="Arial" w:cs="Arial"/>
              </w:rPr>
              <w:t>£0</w:t>
            </w:r>
          </w:p>
        </w:tc>
        <w:tc>
          <w:tcPr>
            <w:tcW w:w="1125" w:type="dxa"/>
            <w:tcBorders>
              <w:top w:val="nil"/>
              <w:left w:val="nil"/>
              <w:bottom w:val="single" w:sz="8" w:space="0" w:color="auto"/>
              <w:right w:val="single" w:sz="8" w:space="0" w:color="auto"/>
            </w:tcBorders>
            <w:shd w:val="clear" w:color="auto" w:fill="auto"/>
          </w:tcPr>
          <w:p w14:paraId="52B8A001" w14:textId="660A35F6" w:rsidR="00A13974" w:rsidRPr="0033344F" w:rsidRDefault="00A13974" w:rsidP="00A13974">
            <w:pPr>
              <w:jc w:val="right"/>
              <w:rPr>
                <w:rFonts w:ascii="Arial" w:hAnsi="Arial" w:cs="Arial"/>
              </w:rPr>
            </w:pPr>
          </w:p>
        </w:tc>
        <w:tc>
          <w:tcPr>
            <w:tcW w:w="282" w:type="dxa"/>
            <w:tcBorders>
              <w:top w:val="nil"/>
              <w:left w:val="nil"/>
              <w:bottom w:val="single" w:sz="8" w:space="0" w:color="auto"/>
              <w:right w:val="single" w:sz="8" w:space="0" w:color="auto"/>
            </w:tcBorders>
            <w:shd w:val="clear" w:color="000000" w:fill="000000"/>
            <w:vAlign w:val="center"/>
          </w:tcPr>
          <w:p w14:paraId="0FDF19D6" w14:textId="5C4534DF" w:rsidR="00A13974" w:rsidRPr="00832FFB" w:rsidRDefault="00A13974" w:rsidP="00A13974">
            <w:pPr>
              <w:jc w:val="right"/>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7CEEE78D" w14:textId="1A7D31F9" w:rsidR="00A13974" w:rsidRPr="00832FFB" w:rsidRDefault="00A13974" w:rsidP="00A13974">
            <w:pPr>
              <w:jc w:val="right"/>
              <w:rPr>
                <w:rFonts w:ascii="Arial" w:hAnsi="Arial" w:cs="Arial"/>
                <w:color w:val="FF0000"/>
              </w:rPr>
            </w:pPr>
            <w:r w:rsidRPr="007A6353">
              <w:rPr>
                <w:rFonts w:ascii="Arial" w:hAnsi="Arial" w:cs="Arial"/>
              </w:rPr>
              <w:t>£187</w:t>
            </w:r>
          </w:p>
        </w:tc>
        <w:tc>
          <w:tcPr>
            <w:tcW w:w="1156" w:type="dxa"/>
            <w:tcBorders>
              <w:top w:val="nil"/>
              <w:left w:val="nil"/>
              <w:bottom w:val="single" w:sz="8" w:space="0" w:color="auto"/>
              <w:right w:val="single" w:sz="8" w:space="0" w:color="auto"/>
            </w:tcBorders>
            <w:shd w:val="clear" w:color="auto" w:fill="auto"/>
          </w:tcPr>
          <w:p w14:paraId="743610FE" w14:textId="1F58D5F1" w:rsidR="00A13974" w:rsidRPr="00832FFB" w:rsidRDefault="00A13974" w:rsidP="00A13974">
            <w:pPr>
              <w:jc w:val="right"/>
              <w:rPr>
                <w:rFonts w:ascii="Arial" w:hAnsi="Arial" w:cs="Arial"/>
                <w:color w:val="FF0000"/>
              </w:rPr>
            </w:pPr>
          </w:p>
        </w:tc>
      </w:tr>
      <w:tr w:rsidR="00A13974" w:rsidRPr="007A6353" w14:paraId="585138B2"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288B02DD" w14:textId="6A1FE5E2" w:rsidR="00A13974" w:rsidRPr="007A6353" w:rsidRDefault="00A13974" w:rsidP="00A13974">
            <w:pPr>
              <w:rPr>
                <w:rFonts w:ascii="Arial" w:hAnsi="Arial" w:cs="Arial"/>
                <w:color w:val="FF0000"/>
              </w:rPr>
            </w:pPr>
            <w:r w:rsidRPr="007A6353">
              <w:rPr>
                <w:rFonts w:ascii="Arial" w:hAnsi="Arial" w:cs="Arial"/>
              </w:rPr>
              <w:t>Therapy</w:t>
            </w:r>
          </w:p>
        </w:tc>
        <w:tc>
          <w:tcPr>
            <w:tcW w:w="1402" w:type="dxa"/>
            <w:tcBorders>
              <w:top w:val="nil"/>
              <w:left w:val="nil"/>
              <w:bottom w:val="single" w:sz="8" w:space="0" w:color="auto"/>
              <w:right w:val="single" w:sz="8" w:space="0" w:color="auto"/>
            </w:tcBorders>
            <w:shd w:val="clear" w:color="auto" w:fill="auto"/>
          </w:tcPr>
          <w:p w14:paraId="77F99DF7" w14:textId="6B39BD9F" w:rsidR="00A13974" w:rsidRPr="007A6353" w:rsidRDefault="00A13974" w:rsidP="00A13974">
            <w:pPr>
              <w:jc w:val="right"/>
              <w:rPr>
                <w:rFonts w:ascii="Arial" w:hAnsi="Arial" w:cs="Arial"/>
                <w:color w:val="FF0000"/>
              </w:rPr>
            </w:pPr>
            <w:r w:rsidRPr="007A6353">
              <w:rPr>
                <w:rFonts w:ascii="Arial" w:hAnsi="Arial" w:cs="Arial"/>
              </w:rPr>
              <w:t>£927</w:t>
            </w:r>
          </w:p>
        </w:tc>
        <w:tc>
          <w:tcPr>
            <w:tcW w:w="1134" w:type="dxa"/>
            <w:tcBorders>
              <w:top w:val="nil"/>
              <w:left w:val="nil"/>
              <w:bottom w:val="single" w:sz="8" w:space="0" w:color="auto"/>
              <w:right w:val="single" w:sz="8" w:space="0" w:color="auto"/>
            </w:tcBorders>
            <w:shd w:val="clear" w:color="auto" w:fill="auto"/>
          </w:tcPr>
          <w:p w14:paraId="3E2E0A16" w14:textId="570A7A65" w:rsidR="00A13974" w:rsidRPr="00A13974" w:rsidRDefault="00A13974" w:rsidP="00A13974">
            <w:pPr>
              <w:jc w:val="right"/>
              <w:rPr>
                <w:rFonts w:ascii="Arial" w:hAnsi="Arial" w:cs="Arial"/>
                <w:color w:val="FF0000"/>
              </w:rPr>
            </w:pPr>
            <w:r w:rsidRPr="00A13974">
              <w:rPr>
                <w:rFonts w:ascii="Arial" w:hAnsi="Arial" w:cs="Arial"/>
              </w:rPr>
              <w:t>£927</w:t>
            </w:r>
          </w:p>
        </w:tc>
        <w:tc>
          <w:tcPr>
            <w:tcW w:w="1134" w:type="dxa"/>
            <w:tcBorders>
              <w:top w:val="nil"/>
              <w:left w:val="nil"/>
              <w:bottom w:val="single" w:sz="8" w:space="0" w:color="auto"/>
              <w:right w:val="single" w:sz="8" w:space="0" w:color="auto"/>
            </w:tcBorders>
            <w:shd w:val="clear" w:color="auto" w:fill="auto"/>
          </w:tcPr>
          <w:p w14:paraId="0745C37D" w14:textId="48065666" w:rsidR="00A13974" w:rsidRPr="00A13974" w:rsidRDefault="00A13974" w:rsidP="00A13974">
            <w:pPr>
              <w:jc w:val="right"/>
              <w:rPr>
                <w:rFonts w:ascii="Arial" w:hAnsi="Arial" w:cs="Arial"/>
                <w:color w:val="FF0000"/>
              </w:rPr>
            </w:pPr>
            <w:r w:rsidRPr="00A13974">
              <w:rPr>
                <w:rFonts w:ascii="Arial" w:hAnsi="Arial" w:cs="Arial"/>
              </w:rPr>
              <w:t>£0</w:t>
            </w:r>
          </w:p>
        </w:tc>
        <w:tc>
          <w:tcPr>
            <w:tcW w:w="1125" w:type="dxa"/>
            <w:tcBorders>
              <w:top w:val="nil"/>
              <w:left w:val="nil"/>
              <w:bottom w:val="single" w:sz="8" w:space="0" w:color="auto"/>
              <w:right w:val="single" w:sz="8" w:space="0" w:color="auto"/>
            </w:tcBorders>
            <w:shd w:val="clear" w:color="auto" w:fill="auto"/>
          </w:tcPr>
          <w:p w14:paraId="1A694F8E" w14:textId="05429841" w:rsidR="00A13974" w:rsidRPr="0033344F" w:rsidRDefault="00A13974" w:rsidP="00A13974">
            <w:pPr>
              <w:jc w:val="right"/>
              <w:rPr>
                <w:rFonts w:ascii="Arial" w:hAnsi="Arial" w:cs="Arial"/>
              </w:rPr>
            </w:pPr>
          </w:p>
        </w:tc>
        <w:tc>
          <w:tcPr>
            <w:tcW w:w="282" w:type="dxa"/>
            <w:tcBorders>
              <w:top w:val="nil"/>
              <w:left w:val="nil"/>
              <w:bottom w:val="single" w:sz="8" w:space="0" w:color="auto"/>
              <w:right w:val="single" w:sz="8" w:space="0" w:color="auto"/>
            </w:tcBorders>
            <w:shd w:val="clear" w:color="000000" w:fill="000000"/>
            <w:vAlign w:val="center"/>
          </w:tcPr>
          <w:p w14:paraId="551DB674" w14:textId="69232B57" w:rsidR="00A13974" w:rsidRPr="00832FFB" w:rsidRDefault="00A13974" w:rsidP="00A13974">
            <w:pPr>
              <w:jc w:val="right"/>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6FED5EFF" w14:textId="321AE8ED" w:rsidR="00A13974" w:rsidRPr="00832FFB" w:rsidRDefault="00A13974" w:rsidP="00A13974">
            <w:pPr>
              <w:jc w:val="right"/>
              <w:rPr>
                <w:rFonts w:ascii="Arial" w:hAnsi="Arial" w:cs="Arial"/>
                <w:color w:val="FF0000"/>
              </w:rPr>
            </w:pPr>
            <w:r w:rsidRPr="007A6353">
              <w:rPr>
                <w:rFonts w:ascii="Arial" w:hAnsi="Arial" w:cs="Arial"/>
              </w:rPr>
              <w:t>£927</w:t>
            </w:r>
          </w:p>
        </w:tc>
        <w:tc>
          <w:tcPr>
            <w:tcW w:w="1156" w:type="dxa"/>
            <w:tcBorders>
              <w:top w:val="nil"/>
              <w:left w:val="nil"/>
              <w:bottom w:val="single" w:sz="8" w:space="0" w:color="auto"/>
              <w:right w:val="single" w:sz="8" w:space="0" w:color="auto"/>
            </w:tcBorders>
            <w:shd w:val="clear" w:color="auto" w:fill="auto"/>
          </w:tcPr>
          <w:p w14:paraId="00625B32" w14:textId="30C50E3D" w:rsidR="00A13974" w:rsidRPr="00832FFB" w:rsidRDefault="00A13974" w:rsidP="00A13974">
            <w:pPr>
              <w:jc w:val="right"/>
              <w:rPr>
                <w:rFonts w:ascii="Arial" w:hAnsi="Arial" w:cs="Arial"/>
                <w:color w:val="FF0000"/>
              </w:rPr>
            </w:pPr>
          </w:p>
        </w:tc>
      </w:tr>
      <w:tr w:rsidR="00A13974" w:rsidRPr="007A6353" w14:paraId="55C3D169"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3EF8F2F6" w14:textId="2A5FD2D0" w:rsidR="00A13974" w:rsidRPr="007A6353" w:rsidRDefault="00A13974" w:rsidP="00A13974">
            <w:pPr>
              <w:rPr>
                <w:rFonts w:ascii="Arial" w:hAnsi="Arial" w:cs="Arial"/>
                <w:color w:val="FF0000"/>
              </w:rPr>
            </w:pPr>
            <w:r w:rsidRPr="007A6353">
              <w:rPr>
                <w:rFonts w:ascii="Arial" w:hAnsi="Arial" w:cs="Arial"/>
              </w:rPr>
              <w:t>BUDGETED DEFICIT</w:t>
            </w:r>
          </w:p>
        </w:tc>
        <w:tc>
          <w:tcPr>
            <w:tcW w:w="1402" w:type="dxa"/>
            <w:tcBorders>
              <w:top w:val="nil"/>
              <w:left w:val="nil"/>
              <w:bottom w:val="single" w:sz="8" w:space="0" w:color="auto"/>
              <w:right w:val="single" w:sz="8" w:space="0" w:color="auto"/>
            </w:tcBorders>
            <w:shd w:val="clear" w:color="auto" w:fill="auto"/>
          </w:tcPr>
          <w:p w14:paraId="6F8D979D" w14:textId="282A049F" w:rsidR="00A13974" w:rsidRPr="003C4803" w:rsidRDefault="00A13974" w:rsidP="00A13974">
            <w:pPr>
              <w:jc w:val="right"/>
              <w:rPr>
                <w:rFonts w:ascii="Arial" w:hAnsi="Arial" w:cs="Arial"/>
                <w:color w:val="FF0000"/>
              </w:rPr>
            </w:pPr>
            <w:r w:rsidRPr="003C4803">
              <w:rPr>
                <w:rFonts w:ascii="Arial" w:hAnsi="Arial" w:cs="Arial"/>
                <w:color w:val="FF0000"/>
              </w:rPr>
              <w:t>-£1,778</w:t>
            </w:r>
          </w:p>
        </w:tc>
        <w:tc>
          <w:tcPr>
            <w:tcW w:w="1134" w:type="dxa"/>
            <w:tcBorders>
              <w:top w:val="nil"/>
              <w:left w:val="nil"/>
              <w:bottom w:val="single" w:sz="8" w:space="0" w:color="auto"/>
              <w:right w:val="single" w:sz="8" w:space="0" w:color="auto"/>
            </w:tcBorders>
            <w:shd w:val="clear" w:color="auto" w:fill="auto"/>
          </w:tcPr>
          <w:p w14:paraId="25FE507B" w14:textId="362D5B80" w:rsidR="00A13974" w:rsidRPr="00A13974" w:rsidRDefault="00A13974" w:rsidP="00A13974">
            <w:pPr>
              <w:jc w:val="right"/>
              <w:rPr>
                <w:rFonts w:ascii="Arial" w:hAnsi="Arial" w:cs="Arial"/>
                <w:color w:val="FF0000"/>
              </w:rPr>
            </w:pPr>
            <w:r w:rsidRPr="00A13974">
              <w:rPr>
                <w:rFonts w:ascii="Arial" w:hAnsi="Arial" w:cs="Arial"/>
                <w:color w:val="FF0000"/>
              </w:rPr>
              <w:t>-£868</w:t>
            </w:r>
          </w:p>
        </w:tc>
        <w:tc>
          <w:tcPr>
            <w:tcW w:w="1134" w:type="dxa"/>
            <w:tcBorders>
              <w:top w:val="nil"/>
              <w:left w:val="nil"/>
              <w:bottom w:val="single" w:sz="8" w:space="0" w:color="auto"/>
              <w:right w:val="single" w:sz="8" w:space="0" w:color="auto"/>
            </w:tcBorders>
            <w:shd w:val="clear" w:color="auto" w:fill="auto"/>
          </w:tcPr>
          <w:p w14:paraId="28624EA2" w14:textId="051C0C2E" w:rsidR="00A13974" w:rsidRPr="00A13974" w:rsidRDefault="00A13974" w:rsidP="00A13974">
            <w:pPr>
              <w:jc w:val="right"/>
              <w:rPr>
                <w:rFonts w:ascii="Arial" w:hAnsi="Arial" w:cs="Arial"/>
                <w:color w:val="FF0000"/>
              </w:rPr>
            </w:pPr>
            <w:r w:rsidRPr="00A13974">
              <w:rPr>
                <w:rFonts w:ascii="Arial" w:hAnsi="Arial" w:cs="Arial"/>
              </w:rPr>
              <w:t>£910</w:t>
            </w:r>
          </w:p>
        </w:tc>
        <w:tc>
          <w:tcPr>
            <w:tcW w:w="1125" w:type="dxa"/>
            <w:tcBorders>
              <w:top w:val="nil"/>
              <w:left w:val="nil"/>
              <w:bottom w:val="single" w:sz="8" w:space="0" w:color="auto"/>
              <w:right w:val="single" w:sz="8" w:space="0" w:color="auto"/>
            </w:tcBorders>
            <w:shd w:val="clear" w:color="auto" w:fill="auto"/>
          </w:tcPr>
          <w:p w14:paraId="5E6F6F6C" w14:textId="6E317C38" w:rsidR="00A13974" w:rsidRPr="0033344F" w:rsidRDefault="00A13974" w:rsidP="00A13974">
            <w:pPr>
              <w:jc w:val="right"/>
              <w:rPr>
                <w:rFonts w:ascii="Arial" w:hAnsi="Arial" w:cs="Arial"/>
              </w:rPr>
            </w:pPr>
          </w:p>
        </w:tc>
        <w:tc>
          <w:tcPr>
            <w:tcW w:w="282" w:type="dxa"/>
            <w:tcBorders>
              <w:top w:val="nil"/>
              <w:left w:val="nil"/>
              <w:bottom w:val="single" w:sz="8" w:space="0" w:color="auto"/>
              <w:right w:val="single" w:sz="8" w:space="0" w:color="auto"/>
            </w:tcBorders>
            <w:shd w:val="clear" w:color="000000" w:fill="000000"/>
            <w:vAlign w:val="center"/>
          </w:tcPr>
          <w:p w14:paraId="74126284" w14:textId="021802D6" w:rsidR="00A13974" w:rsidRPr="00832FFB" w:rsidRDefault="00A13974" w:rsidP="00A13974">
            <w:pPr>
              <w:jc w:val="right"/>
              <w:rPr>
                <w:rFonts w:ascii="Arial" w:hAnsi="Arial" w:cs="Arial"/>
                <w:color w:val="FF0000"/>
              </w:rPr>
            </w:pPr>
          </w:p>
        </w:tc>
        <w:tc>
          <w:tcPr>
            <w:tcW w:w="1267" w:type="dxa"/>
            <w:tcBorders>
              <w:top w:val="nil"/>
              <w:left w:val="nil"/>
              <w:bottom w:val="single" w:sz="8" w:space="0" w:color="auto"/>
              <w:right w:val="single" w:sz="8" w:space="0" w:color="auto"/>
            </w:tcBorders>
            <w:shd w:val="clear" w:color="auto" w:fill="auto"/>
          </w:tcPr>
          <w:p w14:paraId="005A4B75" w14:textId="76323745" w:rsidR="00A13974" w:rsidRPr="00832FFB" w:rsidRDefault="00A13974" w:rsidP="00A13974">
            <w:pPr>
              <w:jc w:val="right"/>
              <w:rPr>
                <w:rFonts w:ascii="Arial" w:hAnsi="Arial" w:cs="Arial"/>
                <w:color w:val="FF0000"/>
              </w:rPr>
            </w:pPr>
            <w:r w:rsidRPr="007A6353">
              <w:rPr>
                <w:rFonts w:ascii="Arial" w:hAnsi="Arial" w:cs="Arial"/>
              </w:rPr>
              <w:t>£0</w:t>
            </w:r>
          </w:p>
        </w:tc>
        <w:tc>
          <w:tcPr>
            <w:tcW w:w="1156" w:type="dxa"/>
            <w:tcBorders>
              <w:top w:val="nil"/>
              <w:left w:val="nil"/>
              <w:bottom w:val="single" w:sz="8" w:space="0" w:color="auto"/>
              <w:right w:val="single" w:sz="8" w:space="0" w:color="auto"/>
            </w:tcBorders>
            <w:shd w:val="clear" w:color="auto" w:fill="auto"/>
          </w:tcPr>
          <w:p w14:paraId="230D7164" w14:textId="66D79B73" w:rsidR="00A13974" w:rsidRPr="00832FFB" w:rsidRDefault="00A13974" w:rsidP="00A13974">
            <w:pPr>
              <w:jc w:val="right"/>
              <w:rPr>
                <w:rFonts w:ascii="Arial" w:hAnsi="Arial" w:cs="Arial"/>
                <w:color w:val="FF0000"/>
              </w:rPr>
            </w:pPr>
          </w:p>
        </w:tc>
      </w:tr>
      <w:tr w:rsidR="00A13974" w:rsidRPr="007A6353" w14:paraId="343083EC" w14:textId="77777777" w:rsidTr="00BE0F6B">
        <w:trPr>
          <w:trHeight w:hRule="exact" w:val="284"/>
        </w:trPr>
        <w:tc>
          <w:tcPr>
            <w:tcW w:w="6448" w:type="dxa"/>
            <w:tcBorders>
              <w:top w:val="nil"/>
              <w:left w:val="single" w:sz="8" w:space="0" w:color="auto"/>
              <w:bottom w:val="single" w:sz="8" w:space="0" w:color="auto"/>
              <w:right w:val="single" w:sz="8" w:space="0" w:color="auto"/>
            </w:tcBorders>
            <w:shd w:val="clear" w:color="auto" w:fill="auto"/>
          </w:tcPr>
          <w:p w14:paraId="54458754" w14:textId="2F4CCB92" w:rsidR="00A13974" w:rsidRPr="007A6353" w:rsidRDefault="00A13974" w:rsidP="00A13974">
            <w:pPr>
              <w:rPr>
                <w:rFonts w:ascii="Arial" w:hAnsi="Arial" w:cs="Arial"/>
                <w:b/>
                <w:bCs/>
                <w:color w:val="FF0000"/>
              </w:rPr>
            </w:pPr>
            <w:r w:rsidRPr="007A6353">
              <w:rPr>
                <w:rFonts w:ascii="Arial" w:hAnsi="Arial" w:cs="Arial"/>
                <w:b/>
                <w:bCs/>
              </w:rPr>
              <w:t>GRAND TOTAL</w:t>
            </w:r>
          </w:p>
        </w:tc>
        <w:tc>
          <w:tcPr>
            <w:tcW w:w="1402" w:type="dxa"/>
            <w:tcBorders>
              <w:top w:val="nil"/>
              <w:left w:val="nil"/>
              <w:bottom w:val="single" w:sz="8" w:space="0" w:color="auto"/>
              <w:right w:val="single" w:sz="8" w:space="0" w:color="auto"/>
            </w:tcBorders>
            <w:shd w:val="clear" w:color="auto" w:fill="auto"/>
          </w:tcPr>
          <w:p w14:paraId="0A6587B9" w14:textId="197AFD3D" w:rsidR="00A13974" w:rsidRPr="007A6353" w:rsidRDefault="00A13974" w:rsidP="00A13974">
            <w:pPr>
              <w:jc w:val="right"/>
              <w:rPr>
                <w:rFonts w:ascii="Arial" w:hAnsi="Arial" w:cs="Arial"/>
                <w:b/>
                <w:bCs/>
                <w:color w:val="FF0000"/>
              </w:rPr>
            </w:pPr>
            <w:r w:rsidRPr="007A6353">
              <w:rPr>
                <w:rFonts w:ascii="Arial" w:hAnsi="Arial" w:cs="Arial"/>
                <w:b/>
                <w:bCs/>
              </w:rPr>
              <w:t>£37,024</w:t>
            </w:r>
          </w:p>
        </w:tc>
        <w:tc>
          <w:tcPr>
            <w:tcW w:w="1134" w:type="dxa"/>
            <w:tcBorders>
              <w:top w:val="nil"/>
              <w:left w:val="nil"/>
              <w:bottom w:val="single" w:sz="8" w:space="0" w:color="auto"/>
              <w:right w:val="single" w:sz="8" w:space="0" w:color="auto"/>
            </w:tcBorders>
            <w:shd w:val="clear" w:color="auto" w:fill="auto"/>
          </w:tcPr>
          <w:p w14:paraId="74146E64" w14:textId="200BE98D" w:rsidR="00A13974" w:rsidRPr="00A13974" w:rsidRDefault="00A13974" w:rsidP="00A13974">
            <w:pPr>
              <w:jc w:val="right"/>
              <w:rPr>
                <w:rFonts w:ascii="Arial" w:hAnsi="Arial" w:cs="Arial"/>
                <w:b/>
                <w:bCs/>
                <w:color w:val="FF0000"/>
              </w:rPr>
            </w:pPr>
            <w:r w:rsidRPr="00A13974">
              <w:rPr>
                <w:rFonts w:ascii="Arial" w:hAnsi="Arial" w:cs="Arial"/>
                <w:b/>
                <w:bCs/>
              </w:rPr>
              <w:t>£38,189</w:t>
            </w:r>
          </w:p>
        </w:tc>
        <w:tc>
          <w:tcPr>
            <w:tcW w:w="1134" w:type="dxa"/>
            <w:tcBorders>
              <w:top w:val="nil"/>
              <w:left w:val="nil"/>
              <w:bottom w:val="single" w:sz="8" w:space="0" w:color="auto"/>
              <w:right w:val="single" w:sz="8" w:space="0" w:color="auto"/>
            </w:tcBorders>
            <w:shd w:val="clear" w:color="auto" w:fill="auto"/>
          </w:tcPr>
          <w:p w14:paraId="4EDBD648" w14:textId="040B797A" w:rsidR="00A13974" w:rsidRPr="00A13974" w:rsidRDefault="00A13974" w:rsidP="00A13974">
            <w:pPr>
              <w:jc w:val="right"/>
              <w:rPr>
                <w:rFonts w:ascii="Arial" w:hAnsi="Arial" w:cs="Arial"/>
                <w:b/>
                <w:bCs/>
                <w:color w:val="FF0000"/>
              </w:rPr>
            </w:pPr>
            <w:r w:rsidRPr="00A13974">
              <w:rPr>
                <w:rFonts w:ascii="Arial" w:hAnsi="Arial" w:cs="Arial"/>
                <w:b/>
                <w:bCs/>
              </w:rPr>
              <w:t>£1,165</w:t>
            </w:r>
          </w:p>
        </w:tc>
        <w:tc>
          <w:tcPr>
            <w:tcW w:w="1125" w:type="dxa"/>
            <w:tcBorders>
              <w:top w:val="nil"/>
              <w:left w:val="nil"/>
              <w:bottom w:val="single" w:sz="8" w:space="0" w:color="auto"/>
              <w:right w:val="single" w:sz="8" w:space="0" w:color="auto"/>
            </w:tcBorders>
            <w:shd w:val="clear" w:color="auto" w:fill="auto"/>
          </w:tcPr>
          <w:p w14:paraId="62B86DFB" w14:textId="68292654" w:rsidR="00A13974" w:rsidRPr="0033344F" w:rsidRDefault="0033344F" w:rsidP="00A13974">
            <w:pPr>
              <w:jc w:val="right"/>
              <w:rPr>
                <w:rFonts w:ascii="Arial" w:hAnsi="Arial" w:cs="Arial"/>
                <w:b/>
                <w:bCs/>
              </w:rPr>
            </w:pPr>
            <w:r w:rsidRPr="0033344F">
              <w:rPr>
                <w:rFonts w:ascii="Arial" w:hAnsi="Arial" w:cs="Arial"/>
                <w:b/>
                <w:bCs/>
              </w:rPr>
              <w:t>2,042.27</w:t>
            </w:r>
          </w:p>
        </w:tc>
        <w:tc>
          <w:tcPr>
            <w:tcW w:w="282" w:type="dxa"/>
            <w:tcBorders>
              <w:top w:val="nil"/>
              <w:left w:val="nil"/>
              <w:bottom w:val="single" w:sz="8" w:space="0" w:color="auto"/>
              <w:right w:val="single" w:sz="8" w:space="0" w:color="auto"/>
            </w:tcBorders>
            <w:shd w:val="clear" w:color="000000" w:fill="000000"/>
            <w:vAlign w:val="center"/>
          </w:tcPr>
          <w:p w14:paraId="5860309E" w14:textId="233947D4" w:rsidR="00A13974" w:rsidRPr="00832FFB" w:rsidRDefault="00A13974" w:rsidP="00A13974">
            <w:pPr>
              <w:jc w:val="right"/>
              <w:rPr>
                <w:rFonts w:ascii="Arial" w:hAnsi="Arial" w:cs="Arial"/>
                <w:b/>
                <w:bCs/>
                <w:color w:val="FF0000"/>
              </w:rPr>
            </w:pPr>
          </w:p>
        </w:tc>
        <w:tc>
          <w:tcPr>
            <w:tcW w:w="1267" w:type="dxa"/>
            <w:tcBorders>
              <w:top w:val="nil"/>
              <w:left w:val="nil"/>
              <w:bottom w:val="single" w:sz="8" w:space="0" w:color="auto"/>
              <w:right w:val="single" w:sz="8" w:space="0" w:color="auto"/>
            </w:tcBorders>
            <w:shd w:val="clear" w:color="auto" w:fill="auto"/>
          </w:tcPr>
          <w:p w14:paraId="7D35EF97" w14:textId="51983D6B" w:rsidR="00A13974" w:rsidRPr="00832FFB" w:rsidRDefault="00A13974" w:rsidP="00A13974">
            <w:pPr>
              <w:jc w:val="right"/>
              <w:rPr>
                <w:rFonts w:ascii="Arial" w:hAnsi="Arial" w:cs="Arial"/>
                <w:b/>
                <w:bCs/>
                <w:color w:val="FF0000"/>
              </w:rPr>
            </w:pPr>
            <w:r w:rsidRPr="007A6353">
              <w:rPr>
                <w:rFonts w:ascii="Arial" w:hAnsi="Arial" w:cs="Arial"/>
                <w:b/>
                <w:bCs/>
              </w:rPr>
              <w:t>£38,597</w:t>
            </w:r>
          </w:p>
        </w:tc>
        <w:tc>
          <w:tcPr>
            <w:tcW w:w="1156" w:type="dxa"/>
            <w:tcBorders>
              <w:top w:val="nil"/>
              <w:left w:val="nil"/>
              <w:bottom w:val="single" w:sz="8" w:space="0" w:color="auto"/>
              <w:right w:val="single" w:sz="8" w:space="0" w:color="auto"/>
            </w:tcBorders>
            <w:shd w:val="clear" w:color="auto" w:fill="auto"/>
          </w:tcPr>
          <w:p w14:paraId="19357E07" w14:textId="4A256085" w:rsidR="00A13974" w:rsidRPr="00832FFB" w:rsidRDefault="00A13974" w:rsidP="00A13974">
            <w:pPr>
              <w:jc w:val="right"/>
              <w:rPr>
                <w:rFonts w:ascii="Arial" w:hAnsi="Arial" w:cs="Arial"/>
                <w:b/>
                <w:bCs/>
                <w:color w:val="FF0000"/>
              </w:rPr>
            </w:pPr>
            <w:r w:rsidRPr="00832FFB">
              <w:rPr>
                <w:rFonts w:ascii="Arial" w:hAnsi="Arial" w:cs="Arial"/>
                <w:b/>
                <w:bCs/>
              </w:rPr>
              <w:t>2,079.16</w:t>
            </w:r>
          </w:p>
        </w:tc>
      </w:tr>
      <w:bookmarkEnd w:id="1"/>
    </w:tbl>
    <w:p w14:paraId="077789BD" w14:textId="77777777" w:rsidR="002846B0" w:rsidRPr="00DB2126" w:rsidRDefault="002846B0" w:rsidP="00336A80">
      <w:pPr>
        <w:rPr>
          <w:rFonts w:ascii="Arial" w:hAnsi="Arial" w:cs="Arial"/>
          <w:b/>
          <w:color w:val="FF0000"/>
          <w:sz w:val="24"/>
          <w:szCs w:val="24"/>
        </w:rPr>
        <w:sectPr w:rsidR="002846B0" w:rsidRPr="00DB2126" w:rsidSect="002846B0">
          <w:pgSz w:w="16838" w:h="11906" w:orient="landscape"/>
          <w:pgMar w:top="1440" w:right="1440" w:bottom="1440" w:left="1440" w:header="708" w:footer="708" w:gutter="0"/>
          <w:cols w:space="708"/>
          <w:docGrid w:linePitch="360"/>
        </w:sectPr>
      </w:pPr>
    </w:p>
    <w:p w14:paraId="0FEBC97E" w14:textId="77777777" w:rsidR="005F356B" w:rsidRPr="00A54CA5" w:rsidRDefault="005F356B" w:rsidP="001905AD">
      <w:pPr>
        <w:pStyle w:val="ListParagraph"/>
        <w:rPr>
          <w:rFonts w:ascii="Arial" w:hAnsi="Arial" w:cs="Arial"/>
          <w:sz w:val="24"/>
          <w:szCs w:val="24"/>
        </w:rPr>
      </w:pPr>
    </w:p>
    <w:p w14:paraId="639D923B" w14:textId="32D5B8F4" w:rsidR="00ED2AD6" w:rsidRPr="00A13974" w:rsidRDefault="00ED2AD6" w:rsidP="00BE5F52">
      <w:pPr>
        <w:pStyle w:val="ListParagraph"/>
        <w:numPr>
          <w:ilvl w:val="0"/>
          <w:numId w:val="1"/>
        </w:numPr>
        <w:rPr>
          <w:rFonts w:ascii="Arial" w:hAnsi="Arial" w:cs="Arial"/>
          <w:b/>
          <w:sz w:val="24"/>
          <w:szCs w:val="24"/>
        </w:rPr>
      </w:pPr>
      <w:r w:rsidRPr="00A54CA5">
        <w:rPr>
          <w:rFonts w:ascii="Arial" w:hAnsi="Arial" w:cs="Arial"/>
          <w:sz w:val="24"/>
          <w:szCs w:val="24"/>
        </w:rPr>
        <w:t xml:space="preserve">The forecast as at </w:t>
      </w:r>
      <w:r w:rsidR="00F44124" w:rsidRPr="00A54CA5">
        <w:rPr>
          <w:rFonts w:ascii="Arial" w:hAnsi="Arial" w:cs="Arial"/>
          <w:sz w:val="24"/>
          <w:szCs w:val="24"/>
        </w:rPr>
        <w:t xml:space="preserve">quarter </w:t>
      </w:r>
      <w:r w:rsidR="00A13974">
        <w:rPr>
          <w:rFonts w:ascii="Arial" w:hAnsi="Arial" w:cs="Arial"/>
          <w:sz w:val="24"/>
          <w:szCs w:val="24"/>
        </w:rPr>
        <w:t>2</w:t>
      </w:r>
      <w:r w:rsidR="00336A80" w:rsidRPr="00A54CA5">
        <w:rPr>
          <w:rFonts w:ascii="Arial" w:hAnsi="Arial" w:cs="Arial"/>
          <w:sz w:val="24"/>
          <w:szCs w:val="24"/>
        </w:rPr>
        <w:t xml:space="preserve"> </w:t>
      </w:r>
      <w:r w:rsidR="00321418" w:rsidRPr="00A54CA5">
        <w:rPr>
          <w:rFonts w:ascii="Arial" w:hAnsi="Arial" w:cs="Arial"/>
          <w:sz w:val="24"/>
          <w:szCs w:val="24"/>
        </w:rPr>
        <w:t xml:space="preserve">is </w:t>
      </w:r>
      <w:r w:rsidR="00336A80" w:rsidRPr="00A54CA5">
        <w:rPr>
          <w:rFonts w:ascii="Arial" w:hAnsi="Arial" w:cs="Arial"/>
          <w:sz w:val="24"/>
          <w:szCs w:val="24"/>
        </w:rPr>
        <w:t xml:space="preserve">a predicted </w:t>
      </w:r>
      <w:r w:rsidR="00F416CF" w:rsidRPr="00A54CA5">
        <w:rPr>
          <w:rFonts w:ascii="Arial" w:hAnsi="Arial" w:cs="Arial"/>
          <w:sz w:val="24"/>
          <w:szCs w:val="24"/>
        </w:rPr>
        <w:t xml:space="preserve">overspend of </w:t>
      </w:r>
      <w:r w:rsidR="00F44124" w:rsidRPr="00A54CA5">
        <w:rPr>
          <w:rFonts w:ascii="Arial" w:hAnsi="Arial" w:cs="Arial"/>
          <w:sz w:val="24"/>
          <w:szCs w:val="24"/>
        </w:rPr>
        <w:t>£</w:t>
      </w:r>
      <w:r w:rsidR="00A54CA5" w:rsidRPr="00A54CA5">
        <w:rPr>
          <w:rFonts w:ascii="Arial" w:hAnsi="Arial" w:cs="Arial"/>
          <w:sz w:val="24"/>
          <w:szCs w:val="24"/>
        </w:rPr>
        <w:t>1.</w:t>
      </w:r>
      <w:r w:rsidR="00A13974">
        <w:rPr>
          <w:rFonts w:ascii="Arial" w:hAnsi="Arial" w:cs="Arial"/>
          <w:sz w:val="24"/>
          <w:szCs w:val="24"/>
        </w:rPr>
        <w:t>164</w:t>
      </w:r>
      <w:r w:rsidR="00F44124" w:rsidRPr="00A54CA5">
        <w:rPr>
          <w:rFonts w:ascii="Arial" w:hAnsi="Arial" w:cs="Arial"/>
          <w:sz w:val="24"/>
          <w:szCs w:val="24"/>
        </w:rPr>
        <w:t>m</w:t>
      </w:r>
      <w:r w:rsidR="00F416CF" w:rsidRPr="00A54CA5">
        <w:rPr>
          <w:rFonts w:ascii="Arial" w:hAnsi="Arial" w:cs="Arial"/>
          <w:sz w:val="24"/>
          <w:szCs w:val="24"/>
        </w:rPr>
        <w:t>.</w:t>
      </w:r>
      <w:r w:rsidR="00DF0A46" w:rsidRPr="00A54CA5">
        <w:rPr>
          <w:rFonts w:ascii="Arial" w:hAnsi="Arial" w:cs="Arial"/>
          <w:sz w:val="24"/>
          <w:szCs w:val="24"/>
        </w:rPr>
        <w:t xml:space="preserve"> </w:t>
      </w:r>
      <w:r w:rsidR="00910813" w:rsidRPr="00A54CA5">
        <w:rPr>
          <w:rFonts w:ascii="Arial" w:hAnsi="Arial" w:cs="Arial"/>
          <w:sz w:val="24"/>
          <w:szCs w:val="24"/>
        </w:rPr>
        <w:t>There are still a number of provisional forecasts as not all of the changes for September are known or confirmed and this in particular applies to the post 16/19 budgets.</w:t>
      </w:r>
      <w:r w:rsidR="00A13974">
        <w:rPr>
          <w:rFonts w:ascii="Arial" w:hAnsi="Arial" w:cs="Arial"/>
          <w:sz w:val="24"/>
          <w:szCs w:val="24"/>
        </w:rPr>
        <w:t xml:space="preserve"> There is also </w:t>
      </w:r>
      <w:proofErr w:type="spellStart"/>
      <w:r w:rsidR="00A13974">
        <w:rPr>
          <w:rFonts w:ascii="Arial" w:hAnsi="Arial" w:cs="Arial"/>
          <w:sz w:val="24"/>
          <w:szCs w:val="24"/>
        </w:rPr>
        <w:t>approx</w:t>
      </w:r>
      <w:proofErr w:type="spellEnd"/>
      <w:r w:rsidR="00A13974">
        <w:rPr>
          <w:rFonts w:ascii="Arial" w:hAnsi="Arial" w:cs="Arial"/>
          <w:sz w:val="24"/>
          <w:szCs w:val="24"/>
        </w:rPr>
        <w:t xml:space="preserve"> £800k of capacity built into the forecast for additional placements or placement changes.</w:t>
      </w:r>
    </w:p>
    <w:p w14:paraId="7BE03477" w14:textId="77777777" w:rsidR="00A13974" w:rsidRPr="00A13974" w:rsidRDefault="00A13974" w:rsidP="00A13974">
      <w:pPr>
        <w:pStyle w:val="ListParagraph"/>
        <w:rPr>
          <w:rFonts w:ascii="Arial" w:hAnsi="Arial" w:cs="Arial"/>
          <w:b/>
          <w:sz w:val="24"/>
          <w:szCs w:val="24"/>
        </w:rPr>
      </w:pPr>
    </w:p>
    <w:p w14:paraId="4C25469A" w14:textId="6A8E9B14" w:rsidR="00A13974" w:rsidRPr="00A54CA5" w:rsidRDefault="00A13974" w:rsidP="00BE5F52">
      <w:pPr>
        <w:pStyle w:val="ListParagraph"/>
        <w:numPr>
          <w:ilvl w:val="0"/>
          <w:numId w:val="1"/>
        </w:numPr>
        <w:rPr>
          <w:rFonts w:ascii="Arial" w:hAnsi="Arial" w:cs="Arial"/>
          <w:b/>
          <w:sz w:val="24"/>
          <w:szCs w:val="24"/>
        </w:rPr>
      </w:pPr>
      <w:r>
        <w:rPr>
          <w:rFonts w:ascii="Arial" w:hAnsi="Arial" w:cs="Arial"/>
          <w:sz w:val="24"/>
          <w:szCs w:val="24"/>
        </w:rPr>
        <w:t>This is an improved position from quarter 1 as more placements are confirmed for the new academic year.</w:t>
      </w:r>
    </w:p>
    <w:p w14:paraId="35AEDABA" w14:textId="77777777" w:rsidR="00CD45BB" w:rsidRPr="00DB2126" w:rsidRDefault="00CD45BB" w:rsidP="00CD45BB">
      <w:pPr>
        <w:pStyle w:val="ListParagraph"/>
        <w:spacing w:after="0"/>
        <w:rPr>
          <w:rFonts w:ascii="Arial" w:hAnsi="Arial" w:cs="Arial"/>
          <w:color w:val="FF0000"/>
          <w:sz w:val="24"/>
          <w:szCs w:val="24"/>
        </w:rPr>
      </w:pPr>
    </w:p>
    <w:p w14:paraId="1009F035" w14:textId="77777777" w:rsidR="00C653BC" w:rsidRPr="00804FF5" w:rsidRDefault="00C653BC" w:rsidP="001412F2">
      <w:pPr>
        <w:rPr>
          <w:rFonts w:ascii="Arial" w:hAnsi="Arial" w:cs="Arial"/>
          <w:b/>
          <w:sz w:val="24"/>
          <w:szCs w:val="24"/>
        </w:rPr>
      </w:pPr>
      <w:r w:rsidRPr="00804FF5">
        <w:rPr>
          <w:rFonts w:ascii="Arial" w:hAnsi="Arial" w:cs="Arial"/>
          <w:b/>
          <w:sz w:val="24"/>
          <w:szCs w:val="24"/>
        </w:rPr>
        <w:t>Growth Fund</w:t>
      </w:r>
    </w:p>
    <w:p w14:paraId="146D10C3" w14:textId="77777777" w:rsidR="00134A6D" w:rsidRPr="00134A6D" w:rsidRDefault="00134A6D" w:rsidP="00134A6D">
      <w:pPr>
        <w:pStyle w:val="ListParagraph"/>
        <w:numPr>
          <w:ilvl w:val="0"/>
          <w:numId w:val="1"/>
        </w:numPr>
        <w:rPr>
          <w:rFonts w:ascii="Arial" w:hAnsi="Arial" w:cs="Arial"/>
          <w:color w:val="FF0000"/>
          <w:sz w:val="24"/>
          <w:szCs w:val="24"/>
        </w:rPr>
      </w:pPr>
      <w:r w:rsidRPr="00134A6D">
        <w:rPr>
          <w:rFonts w:ascii="Arial" w:hAnsi="Arial" w:cs="Arial"/>
          <w:sz w:val="24"/>
          <w:szCs w:val="24"/>
        </w:rPr>
        <w:t>From 2019-20 growth funding has been allocated to LAs using a new formulaic method based on lagged growth data</w:t>
      </w:r>
      <w:r>
        <w:rPr>
          <w:rFonts w:ascii="Arial" w:hAnsi="Arial" w:cs="Arial"/>
          <w:sz w:val="24"/>
          <w:szCs w:val="24"/>
        </w:rPr>
        <w:t>.</w:t>
      </w:r>
    </w:p>
    <w:p w14:paraId="344B38E1" w14:textId="77777777" w:rsidR="00134A6D" w:rsidRPr="00134A6D" w:rsidRDefault="00134A6D" w:rsidP="00134A6D">
      <w:pPr>
        <w:pStyle w:val="ListParagraph"/>
        <w:rPr>
          <w:rFonts w:ascii="Arial" w:hAnsi="Arial" w:cs="Arial"/>
          <w:color w:val="FF0000"/>
          <w:sz w:val="24"/>
          <w:szCs w:val="24"/>
        </w:rPr>
      </w:pPr>
    </w:p>
    <w:p w14:paraId="655C28F6" w14:textId="3728D39F" w:rsidR="00134A6D" w:rsidRPr="00134A6D" w:rsidRDefault="00134A6D" w:rsidP="00134A6D">
      <w:pPr>
        <w:pStyle w:val="ListParagraph"/>
        <w:numPr>
          <w:ilvl w:val="0"/>
          <w:numId w:val="1"/>
        </w:numPr>
        <w:rPr>
          <w:rFonts w:ascii="Arial" w:hAnsi="Arial" w:cs="Arial"/>
          <w:color w:val="FF0000"/>
          <w:sz w:val="24"/>
          <w:szCs w:val="24"/>
        </w:rPr>
      </w:pPr>
      <w:r w:rsidRPr="00134A6D">
        <w:rPr>
          <w:rFonts w:ascii="Arial" w:hAnsi="Arial" w:cs="Arial"/>
          <w:sz w:val="24"/>
          <w:szCs w:val="24"/>
        </w:rPr>
        <w:t>Growth funding can only be used to:</w:t>
      </w:r>
    </w:p>
    <w:p w14:paraId="1B9C45F4" w14:textId="77777777" w:rsidR="00134A6D" w:rsidRPr="00934310" w:rsidRDefault="00134A6D" w:rsidP="00134A6D">
      <w:pPr>
        <w:numPr>
          <w:ilvl w:val="1"/>
          <w:numId w:val="15"/>
        </w:numPr>
        <w:contextualSpacing/>
        <w:rPr>
          <w:rFonts w:ascii="Arial" w:hAnsi="Arial" w:cs="Arial"/>
          <w:sz w:val="24"/>
          <w:szCs w:val="24"/>
        </w:rPr>
      </w:pPr>
      <w:r w:rsidRPr="00934310">
        <w:rPr>
          <w:rFonts w:ascii="Arial" w:hAnsi="Arial" w:cs="Arial"/>
          <w:sz w:val="24"/>
          <w:szCs w:val="24"/>
        </w:rPr>
        <w:t>Support growth in pre-16 pupil numbers to meet basic need</w:t>
      </w:r>
    </w:p>
    <w:p w14:paraId="5534714A" w14:textId="77777777" w:rsidR="00134A6D" w:rsidRPr="00934310" w:rsidRDefault="00134A6D" w:rsidP="00134A6D">
      <w:pPr>
        <w:numPr>
          <w:ilvl w:val="1"/>
          <w:numId w:val="15"/>
        </w:numPr>
        <w:contextualSpacing/>
        <w:rPr>
          <w:rFonts w:ascii="Arial" w:hAnsi="Arial" w:cs="Arial"/>
          <w:sz w:val="24"/>
          <w:szCs w:val="24"/>
        </w:rPr>
      </w:pPr>
      <w:r w:rsidRPr="00934310">
        <w:rPr>
          <w:rFonts w:ascii="Arial" w:hAnsi="Arial" w:cs="Arial"/>
          <w:sz w:val="24"/>
          <w:szCs w:val="24"/>
        </w:rPr>
        <w:t xml:space="preserve">Support additional classes needed to meet the infant class size regulation </w:t>
      </w:r>
    </w:p>
    <w:p w14:paraId="57EB00F1" w14:textId="77777777" w:rsidR="00134A6D" w:rsidRPr="00934310" w:rsidRDefault="00134A6D" w:rsidP="00134A6D">
      <w:pPr>
        <w:numPr>
          <w:ilvl w:val="1"/>
          <w:numId w:val="15"/>
        </w:numPr>
        <w:contextualSpacing/>
        <w:rPr>
          <w:rFonts w:ascii="Arial" w:hAnsi="Arial" w:cs="Arial"/>
          <w:sz w:val="24"/>
          <w:szCs w:val="24"/>
        </w:rPr>
      </w:pPr>
      <w:r w:rsidRPr="00934310">
        <w:rPr>
          <w:rFonts w:ascii="Arial" w:hAnsi="Arial" w:cs="Arial"/>
          <w:sz w:val="24"/>
          <w:szCs w:val="24"/>
        </w:rPr>
        <w:t>Meet the costs of new schools</w:t>
      </w:r>
    </w:p>
    <w:p w14:paraId="6D900E51" w14:textId="77777777" w:rsidR="00134A6D" w:rsidRPr="00934310" w:rsidRDefault="00134A6D" w:rsidP="00134A6D">
      <w:pPr>
        <w:ind w:left="1440"/>
        <w:contextualSpacing/>
        <w:rPr>
          <w:rFonts w:ascii="Arial" w:hAnsi="Arial" w:cs="Arial"/>
          <w:sz w:val="24"/>
          <w:szCs w:val="24"/>
        </w:rPr>
      </w:pPr>
    </w:p>
    <w:p w14:paraId="4A82216D" w14:textId="77777777" w:rsidR="00134A6D" w:rsidRPr="00934310" w:rsidRDefault="00134A6D" w:rsidP="00134A6D">
      <w:pPr>
        <w:numPr>
          <w:ilvl w:val="0"/>
          <w:numId w:val="1"/>
        </w:numPr>
        <w:contextualSpacing/>
        <w:rPr>
          <w:rFonts w:ascii="Arial" w:hAnsi="Arial" w:cs="Arial"/>
          <w:sz w:val="24"/>
          <w:szCs w:val="24"/>
        </w:rPr>
      </w:pPr>
      <w:r w:rsidRPr="00934310">
        <w:rPr>
          <w:rFonts w:ascii="Arial" w:hAnsi="Arial" w:cs="Arial"/>
          <w:sz w:val="24"/>
          <w:szCs w:val="24"/>
        </w:rPr>
        <w:t>Growth funding may not be used to support:</w:t>
      </w:r>
    </w:p>
    <w:p w14:paraId="7D4930EE" w14:textId="77777777" w:rsidR="00134A6D" w:rsidRPr="00934310" w:rsidRDefault="00134A6D" w:rsidP="00134A6D">
      <w:pPr>
        <w:numPr>
          <w:ilvl w:val="1"/>
          <w:numId w:val="15"/>
        </w:numPr>
        <w:contextualSpacing/>
        <w:rPr>
          <w:rFonts w:ascii="Arial" w:hAnsi="Arial" w:cs="Arial"/>
          <w:sz w:val="24"/>
          <w:szCs w:val="24"/>
        </w:rPr>
      </w:pPr>
      <w:r w:rsidRPr="00934310">
        <w:rPr>
          <w:rFonts w:ascii="Arial" w:hAnsi="Arial" w:cs="Arial"/>
          <w:sz w:val="24"/>
          <w:szCs w:val="24"/>
        </w:rPr>
        <w:t>Schools in financial difficulty</w:t>
      </w:r>
    </w:p>
    <w:p w14:paraId="7BE70E99" w14:textId="77777777" w:rsidR="00134A6D" w:rsidRPr="00934310" w:rsidRDefault="00134A6D" w:rsidP="00134A6D">
      <w:pPr>
        <w:numPr>
          <w:ilvl w:val="1"/>
          <w:numId w:val="15"/>
        </w:numPr>
        <w:contextualSpacing/>
        <w:rPr>
          <w:rFonts w:ascii="Arial" w:hAnsi="Arial" w:cs="Arial"/>
          <w:sz w:val="24"/>
          <w:szCs w:val="24"/>
        </w:rPr>
      </w:pPr>
      <w:r w:rsidRPr="00934310">
        <w:rPr>
          <w:rFonts w:ascii="Arial" w:hAnsi="Arial" w:cs="Arial"/>
          <w:sz w:val="24"/>
          <w:szCs w:val="24"/>
        </w:rPr>
        <w:t xml:space="preserve">General growth due to </w:t>
      </w:r>
      <w:proofErr w:type="gramStart"/>
      <w:r w:rsidRPr="00934310">
        <w:rPr>
          <w:rFonts w:ascii="Arial" w:hAnsi="Arial" w:cs="Arial"/>
          <w:sz w:val="24"/>
          <w:szCs w:val="24"/>
        </w:rPr>
        <w:t>popularity;</w:t>
      </w:r>
      <w:proofErr w:type="gramEnd"/>
      <w:r w:rsidRPr="00934310">
        <w:rPr>
          <w:rFonts w:ascii="Arial" w:hAnsi="Arial" w:cs="Arial"/>
          <w:sz w:val="24"/>
          <w:szCs w:val="24"/>
        </w:rPr>
        <w:t xml:space="preserve"> which is managed through lagged funding</w:t>
      </w:r>
    </w:p>
    <w:p w14:paraId="6A27F266" w14:textId="77777777" w:rsidR="00134A6D" w:rsidRPr="00934310" w:rsidRDefault="00134A6D" w:rsidP="00134A6D">
      <w:pPr>
        <w:ind w:left="1440"/>
        <w:contextualSpacing/>
        <w:rPr>
          <w:rFonts w:ascii="Arial" w:hAnsi="Arial" w:cs="Arial"/>
          <w:sz w:val="24"/>
          <w:szCs w:val="24"/>
        </w:rPr>
      </w:pPr>
    </w:p>
    <w:p w14:paraId="0A34D3EE" w14:textId="15071224" w:rsidR="00134A6D" w:rsidRPr="00934310" w:rsidRDefault="00134A6D" w:rsidP="00134A6D">
      <w:pPr>
        <w:rPr>
          <w:rFonts w:ascii="Arial" w:hAnsi="Arial" w:cs="Arial"/>
          <w:b/>
          <w:sz w:val="24"/>
          <w:szCs w:val="24"/>
        </w:rPr>
      </w:pPr>
      <w:r>
        <w:rPr>
          <w:rFonts w:ascii="Arial" w:hAnsi="Arial" w:cs="Arial"/>
          <w:b/>
          <w:sz w:val="24"/>
          <w:szCs w:val="24"/>
        </w:rPr>
        <w:t>G</w:t>
      </w:r>
      <w:r w:rsidRPr="00934310">
        <w:rPr>
          <w:rFonts w:ascii="Arial" w:hAnsi="Arial" w:cs="Arial"/>
          <w:b/>
          <w:sz w:val="24"/>
          <w:szCs w:val="24"/>
        </w:rPr>
        <w:t xml:space="preserve">rowth </w:t>
      </w:r>
      <w:r>
        <w:rPr>
          <w:rFonts w:ascii="Arial" w:hAnsi="Arial" w:cs="Arial"/>
          <w:b/>
          <w:sz w:val="24"/>
          <w:szCs w:val="24"/>
        </w:rPr>
        <w:t>F</w:t>
      </w:r>
      <w:r w:rsidRPr="00934310">
        <w:rPr>
          <w:rFonts w:ascii="Arial" w:hAnsi="Arial" w:cs="Arial"/>
          <w:b/>
          <w:sz w:val="24"/>
          <w:szCs w:val="24"/>
        </w:rPr>
        <w:t xml:space="preserve">und 2021-22  </w:t>
      </w:r>
    </w:p>
    <w:tbl>
      <w:tblPr>
        <w:tblStyle w:val="TableGrid"/>
        <w:tblW w:w="0" w:type="auto"/>
        <w:tblInd w:w="108" w:type="dxa"/>
        <w:tblLook w:val="04A0" w:firstRow="1" w:lastRow="0" w:firstColumn="1" w:lastColumn="0" w:noHBand="0" w:noVBand="1"/>
      </w:tblPr>
      <w:tblGrid>
        <w:gridCol w:w="5431"/>
        <w:gridCol w:w="1043"/>
        <w:gridCol w:w="1217"/>
        <w:gridCol w:w="1217"/>
      </w:tblGrid>
      <w:tr w:rsidR="00A13974" w:rsidRPr="00134A6D" w14:paraId="0CC1472A" w14:textId="77777777" w:rsidTr="00DE4109">
        <w:trPr>
          <w:trHeight w:hRule="exact" w:val="567"/>
        </w:trPr>
        <w:tc>
          <w:tcPr>
            <w:tcW w:w="5431" w:type="dxa"/>
            <w:vAlign w:val="center"/>
          </w:tcPr>
          <w:p w14:paraId="27B31160" w14:textId="77777777" w:rsidR="00A13974" w:rsidRPr="00134A6D" w:rsidRDefault="00A13974" w:rsidP="00BE0F6B">
            <w:pPr>
              <w:rPr>
                <w:rFonts w:ascii="Arial" w:hAnsi="Arial" w:cs="Arial"/>
                <w:b/>
                <w:bCs/>
                <w:sz w:val="24"/>
                <w:szCs w:val="24"/>
              </w:rPr>
            </w:pPr>
            <w:r w:rsidRPr="00134A6D">
              <w:rPr>
                <w:rFonts w:ascii="Arial" w:hAnsi="Arial" w:cs="Arial"/>
                <w:b/>
                <w:bCs/>
                <w:sz w:val="24"/>
                <w:szCs w:val="24"/>
              </w:rPr>
              <w:t>Category</w:t>
            </w:r>
          </w:p>
        </w:tc>
        <w:tc>
          <w:tcPr>
            <w:tcW w:w="1043" w:type="dxa"/>
          </w:tcPr>
          <w:p w14:paraId="529B340B" w14:textId="182597F9" w:rsidR="00A13974" w:rsidRPr="00134A6D" w:rsidRDefault="00A13974" w:rsidP="00BE0F6B">
            <w:pPr>
              <w:jc w:val="center"/>
              <w:rPr>
                <w:rFonts w:ascii="Arial" w:hAnsi="Arial" w:cs="Arial"/>
                <w:b/>
                <w:bCs/>
                <w:sz w:val="24"/>
                <w:szCs w:val="24"/>
              </w:rPr>
            </w:pPr>
            <w:r>
              <w:rPr>
                <w:rFonts w:ascii="Arial" w:hAnsi="Arial" w:cs="Arial"/>
                <w:b/>
                <w:bCs/>
                <w:sz w:val="24"/>
                <w:szCs w:val="24"/>
              </w:rPr>
              <w:t>Budget £’000</w:t>
            </w:r>
          </w:p>
        </w:tc>
        <w:tc>
          <w:tcPr>
            <w:tcW w:w="1217" w:type="dxa"/>
          </w:tcPr>
          <w:p w14:paraId="1A5493BD" w14:textId="4587F1E9" w:rsidR="00A13974" w:rsidRPr="00134A6D" w:rsidRDefault="00A13974" w:rsidP="00BE0F6B">
            <w:pPr>
              <w:jc w:val="center"/>
              <w:rPr>
                <w:rFonts w:ascii="Arial" w:hAnsi="Arial" w:cs="Arial"/>
                <w:b/>
                <w:bCs/>
                <w:sz w:val="24"/>
                <w:szCs w:val="24"/>
              </w:rPr>
            </w:pPr>
            <w:r>
              <w:rPr>
                <w:rFonts w:ascii="Arial" w:hAnsi="Arial" w:cs="Arial"/>
                <w:b/>
                <w:bCs/>
                <w:sz w:val="24"/>
                <w:szCs w:val="24"/>
              </w:rPr>
              <w:t>Forecast £’000</w:t>
            </w:r>
          </w:p>
        </w:tc>
        <w:tc>
          <w:tcPr>
            <w:tcW w:w="1217" w:type="dxa"/>
            <w:vAlign w:val="center"/>
          </w:tcPr>
          <w:p w14:paraId="1BAE6765" w14:textId="733B6AC8" w:rsidR="00A13974" w:rsidRPr="00134A6D" w:rsidRDefault="00A13974" w:rsidP="00BE0F6B">
            <w:pPr>
              <w:jc w:val="center"/>
              <w:rPr>
                <w:rFonts w:ascii="Arial" w:hAnsi="Arial" w:cs="Arial"/>
                <w:b/>
                <w:bCs/>
                <w:sz w:val="24"/>
                <w:szCs w:val="24"/>
              </w:rPr>
            </w:pPr>
            <w:r>
              <w:rPr>
                <w:rFonts w:ascii="Arial" w:hAnsi="Arial" w:cs="Arial"/>
                <w:b/>
                <w:bCs/>
                <w:sz w:val="24"/>
                <w:szCs w:val="24"/>
              </w:rPr>
              <w:t>Variance £’000</w:t>
            </w:r>
          </w:p>
        </w:tc>
      </w:tr>
      <w:tr w:rsidR="00DE4109" w:rsidRPr="00134A6D" w14:paraId="532729BC" w14:textId="77777777" w:rsidTr="00DE4109">
        <w:trPr>
          <w:trHeight w:hRule="exact" w:val="284"/>
        </w:trPr>
        <w:tc>
          <w:tcPr>
            <w:tcW w:w="5431" w:type="dxa"/>
            <w:vAlign w:val="center"/>
          </w:tcPr>
          <w:p w14:paraId="6DD3D5F2" w14:textId="77777777" w:rsidR="00DE4109" w:rsidRPr="00134A6D" w:rsidRDefault="00DE4109" w:rsidP="00DE4109">
            <w:pPr>
              <w:rPr>
                <w:rFonts w:ascii="Arial" w:hAnsi="Arial" w:cs="Arial"/>
                <w:sz w:val="24"/>
                <w:szCs w:val="24"/>
              </w:rPr>
            </w:pPr>
            <w:r w:rsidRPr="00134A6D">
              <w:rPr>
                <w:rFonts w:ascii="Arial" w:hAnsi="Arial" w:cs="Arial"/>
                <w:sz w:val="24"/>
                <w:szCs w:val="24"/>
              </w:rPr>
              <w:t>Licences</w:t>
            </w:r>
          </w:p>
        </w:tc>
        <w:tc>
          <w:tcPr>
            <w:tcW w:w="1043" w:type="dxa"/>
          </w:tcPr>
          <w:p w14:paraId="5584C3A7" w14:textId="4516F74D" w:rsidR="00DE4109" w:rsidRPr="00DE4109" w:rsidRDefault="00DE4109" w:rsidP="00DE4109">
            <w:pPr>
              <w:jc w:val="right"/>
              <w:rPr>
                <w:rFonts w:ascii="Arial" w:hAnsi="Arial" w:cs="Arial"/>
                <w:sz w:val="24"/>
                <w:szCs w:val="24"/>
              </w:rPr>
            </w:pPr>
            <w:r w:rsidRPr="00DE4109">
              <w:rPr>
                <w:rFonts w:ascii="Arial" w:hAnsi="Arial" w:cs="Arial"/>
              </w:rPr>
              <w:t>£562</w:t>
            </w:r>
          </w:p>
        </w:tc>
        <w:tc>
          <w:tcPr>
            <w:tcW w:w="1217" w:type="dxa"/>
          </w:tcPr>
          <w:p w14:paraId="5D358212" w14:textId="1D1A2050" w:rsidR="00DE4109" w:rsidRPr="00DE4109" w:rsidRDefault="00DE4109" w:rsidP="00DE4109">
            <w:pPr>
              <w:jc w:val="right"/>
              <w:rPr>
                <w:rFonts w:ascii="Arial" w:hAnsi="Arial" w:cs="Arial"/>
                <w:sz w:val="24"/>
                <w:szCs w:val="24"/>
              </w:rPr>
            </w:pPr>
            <w:r w:rsidRPr="00DE4109">
              <w:rPr>
                <w:rFonts w:ascii="Arial" w:hAnsi="Arial" w:cs="Arial"/>
              </w:rPr>
              <w:t>£315</w:t>
            </w:r>
          </w:p>
        </w:tc>
        <w:tc>
          <w:tcPr>
            <w:tcW w:w="1217" w:type="dxa"/>
          </w:tcPr>
          <w:p w14:paraId="72C38DE3" w14:textId="22C69400" w:rsidR="00DE4109" w:rsidRPr="00DE4109" w:rsidRDefault="00DE4109" w:rsidP="00DE4109">
            <w:pPr>
              <w:jc w:val="right"/>
              <w:rPr>
                <w:rFonts w:ascii="Arial" w:hAnsi="Arial" w:cs="Arial"/>
                <w:color w:val="FF0000"/>
                <w:sz w:val="24"/>
                <w:szCs w:val="24"/>
              </w:rPr>
            </w:pPr>
            <w:r w:rsidRPr="00DE4109">
              <w:rPr>
                <w:rFonts w:ascii="Arial" w:hAnsi="Arial" w:cs="Arial"/>
                <w:color w:val="FF0000"/>
              </w:rPr>
              <w:t>-£247</w:t>
            </w:r>
          </w:p>
        </w:tc>
      </w:tr>
      <w:tr w:rsidR="00DE4109" w:rsidRPr="00134A6D" w14:paraId="770B1BE4" w14:textId="77777777" w:rsidTr="00DE4109">
        <w:trPr>
          <w:trHeight w:hRule="exact" w:val="284"/>
        </w:trPr>
        <w:tc>
          <w:tcPr>
            <w:tcW w:w="5431" w:type="dxa"/>
            <w:vAlign w:val="center"/>
          </w:tcPr>
          <w:p w14:paraId="2078FD45" w14:textId="77777777" w:rsidR="00DE4109" w:rsidRPr="00134A6D" w:rsidRDefault="00DE4109" w:rsidP="00DE4109">
            <w:pPr>
              <w:rPr>
                <w:rFonts w:ascii="Arial" w:hAnsi="Arial" w:cs="Arial"/>
                <w:sz w:val="24"/>
                <w:szCs w:val="24"/>
              </w:rPr>
            </w:pPr>
            <w:r w:rsidRPr="00134A6D">
              <w:rPr>
                <w:rFonts w:ascii="Arial" w:hAnsi="Arial" w:cs="Arial"/>
                <w:sz w:val="24"/>
                <w:szCs w:val="24"/>
              </w:rPr>
              <w:t>Primary Expansion</w:t>
            </w:r>
          </w:p>
        </w:tc>
        <w:tc>
          <w:tcPr>
            <w:tcW w:w="1043" w:type="dxa"/>
          </w:tcPr>
          <w:p w14:paraId="3DCF8278" w14:textId="372899B8" w:rsidR="00DE4109" w:rsidRPr="00DE4109" w:rsidRDefault="00DE4109" w:rsidP="00DE4109">
            <w:pPr>
              <w:jc w:val="right"/>
              <w:rPr>
                <w:rFonts w:ascii="Arial" w:hAnsi="Arial" w:cs="Arial"/>
                <w:sz w:val="24"/>
                <w:szCs w:val="24"/>
              </w:rPr>
            </w:pPr>
            <w:r w:rsidRPr="00DE4109">
              <w:rPr>
                <w:rFonts w:ascii="Arial" w:hAnsi="Arial" w:cs="Arial"/>
              </w:rPr>
              <w:t>£530</w:t>
            </w:r>
          </w:p>
        </w:tc>
        <w:tc>
          <w:tcPr>
            <w:tcW w:w="1217" w:type="dxa"/>
          </w:tcPr>
          <w:p w14:paraId="6E6EF2EC" w14:textId="2B9DF9E4" w:rsidR="00DE4109" w:rsidRPr="00DE4109" w:rsidRDefault="00DE4109" w:rsidP="00DE4109">
            <w:pPr>
              <w:jc w:val="right"/>
              <w:rPr>
                <w:rFonts w:ascii="Arial" w:hAnsi="Arial" w:cs="Arial"/>
                <w:sz w:val="24"/>
                <w:szCs w:val="24"/>
              </w:rPr>
            </w:pPr>
            <w:r w:rsidRPr="00DE4109">
              <w:rPr>
                <w:rFonts w:ascii="Arial" w:hAnsi="Arial" w:cs="Arial"/>
              </w:rPr>
              <w:t>£0</w:t>
            </w:r>
          </w:p>
        </w:tc>
        <w:tc>
          <w:tcPr>
            <w:tcW w:w="1217" w:type="dxa"/>
          </w:tcPr>
          <w:p w14:paraId="5C991017" w14:textId="1C180DA6" w:rsidR="00DE4109" w:rsidRPr="00DE4109" w:rsidRDefault="00DE4109" w:rsidP="00DE4109">
            <w:pPr>
              <w:jc w:val="right"/>
              <w:rPr>
                <w:rFonts w:ascii="Arial" w:hAnsi="Arial" w:cs="Arial"/>
                <w:color w:val="FF0000"/>
                <w:sz w:val="24"/>
                <w:szCs w:val="24"/>
              </w:rPr>
            </w:pPr>
            <w:r w:rsidRPr="00DE4109">
              <w:rPr>
                <w:rFonts w:ascii="Arial" w:hAnsi="Arial" w:cs="Arial"/>
                <w:color w:val="FF0000"/>
              </w:rPr>
              <w:t>-£530</w:t>
            </w:r>
          </w:p>
        </w:tc>
      </w:tr>
      <w:tr w:rsidR="00DE4109" w:rsidRPr="00134A6D" w14:paraId="5F765782" w14:textId="77777777" w:rsidTr="00DE4109">
        <w:trPr>
          <w:trHeight w:hRule="exact" w:val="284"/>
        </w:trPr>
        <w:tc>
          <w:tcPr>
            <w:tcW w:w="5431" w:type="dxa"/>
            <w:vAlign w:val="center"/>
          </w:tcPr>
          <w:p w14:paraId="0039FC5C" w14:textId="77777777" w:rsidR="00DE4109" w:rsidRPr="00134A6D" w:rsidRDefault="00DE4109" w:rsidP="00DE4109">
            <w:pPr>
              <w:rPr>
                <w:rFonts w:ascii="Arial" w:hAnsi="Arial" w:cs="Arial"/>
                <w:sz w:val="24"/>
                <w:szCs w:val="24"/>
              </w:rPr>
            </w:pPr>
            <w:r w:rsidRPr="00134A6D">
              <w:rPr>
                <w:rFonts w:ascii="Arial" w:hAnsi="Arial" w:cs="Arial"/>
                <w:sz w:val="24"/>
                <w:szCs w:val="24"/>
              </w:rPr>
              <w:t>Secondary Expansion</w:t>
            </w:r>
          </w:p>
        </w:tc>
        <w:tc>
          <w:tcPr>
            <w:tcW w:w="1043" w:type="dxa"/>
          </w:tcPr>
          <w:p w14:paraId="3ED389A8" w14:textId="61D066EE" w:rsidR="00DE4109" w:rsidRPr="00DE4109" w:rsidRDefault="00DE4109" w:rsidP="00DE4109">
            <w:pPr>
              <w:jc w:val="right"/>
              <w:rPr>
                <w:rFonts w:ascii="Arial" w:hAnsi="Arial" w:cs="Arial"/>
                <w:sz w:val="24"/>
                <w:szCs w:val="24"/>
              </w:rPr>
            </w:pPr>
            <w:r w:rsidRPr="00DE4109">
              <w:rPr>
                <w:rFonts w:ascii="Arial" w:hAnsi="Arial" w:cs="Arial"/>
              </w:rPr>
              <w:t>£161</w:t>
            </w:r>
          </w:p>
        </w:tc>
        <w:tc>
          <w:tcPr>
            <w:tcW w:w="1217" w:type="dxa"/>
          </w:tcPr>
          <w:p w14:paraId="53C4260A" w14:textId="13099932" w:rsidR="00DE4109" w:rsidRPr="00DE4109" w:rsidRDefault="00DE4109" w:rsidP="00DE4109">
            <w:pPr>
              <w:jc w:val="right"/>
              <w:rPr>
                <w:rFonts w:ascii="Arial" w:hAnsi="Arial" w:cs="Arial"/>
                <w:sz w:val="24"/>
                <w:szCs w:val="24"/>
              </w:rPr>
            </w:pPr>
            <w:r w:rsidRPr="00DE4109">
              <w:rPr>
                <w:rFonts w:ascii="Arial" w:hAnsi="Arial" w:cs="Arial"/>
              </w:rPr>
              <w:t>£161</w:t>
            </w:r>
          </w:p>
        </w:tc>
        <w:tc>
          <w:tcPr>
            <w:tcW w:w="1217" w:type="dxa"/>
          </w:tcPr>
          <w:p w14:paraId="4B92F2B8" w14:textId="231C5246" w:rsidR="00DE4109" w:rsidRPr="00DE4109" w:rsidRDefault="00DE4109" w:rsidP="00DE4109">
            <w:pPr>
              <w:jc w:val="right"/>
              <w:rPr>
                <w:rFonts w:ascii="Arial" w:hAnsi="Arial" w:cs="Arial"/>
                <w:sz w:val="24"/>
                <w:szCs w:val="24"/>
              </w:rPr>
            </w:pPr>
            <w:r w:rsidRPr="00DE4109">
              <w:rPr>
                <w:rFonts w:ascii="Arial" w:hAnsi="Arial" w:cs="Arial"/>
              </w:rPr>
              <w:t>£0</w:t>
            </w:r>
          </w:p>
        </w:tc>
      </w:tr>
      <w:tr w:rsidR="00DE4109" w:rsidRPr="00134A6D" w14:paraId="26898242" w14:textId="77777777" w:rsidTr="00DE4109">
        <w:trPr>
          <w:trHeight w:hRule="exact" w:val="284"/>
        </w:trPr>
        <w:tc>
          <w:tcPr>
            <w:tcW w:w="5431" w:type="dxa"/>
            <w:vAlign w:val="center"/>
          </w:tcPr>
          <w:p w14:paraId="5A07F635" w14:textId="7543DE7B" w:rsidR="00DE4109" w:rsidRPr="00DE4109" w:rsidRDefault="00DE4109" w:rsidP="00DE4109">
            <w:pPr>
              <w:rPr>
                <w:rFonts w:ascii="Arial" w:hAnsi="Arial" w:cs="Arial"/>
                <w:b/>
                <w:bCs/>
                <w:sz w:val="24"/>
                <w:szCs w:val="24"/>
              </w:rPr>
            </w:pPr>
            <w:r w:rsidRPr="00DE4109">
              <w:rPr>
                <w:rFonts w:ascii="Arial" w:hAnsi="Arial" w:cs="Arial"/>
                <w:b/>
                <w:bCs/>
                <w:sz w:val="24"/>
                <w:szCs w:val="24"/>
              </w:rPr>
              <w:t>Total 2021-22</w:t>
            </w:r>
          </w:p>
        </w:tc>
        <w:tc>
          <w:tcPr>
            <w:tcW w:w="1043" w:type="dxa"/>
          </w:tcPr>
          <w:p w14:paraId="52D64A6D" w14:textId="108D11D6" w:rsidR="00DE4109" w:rsidRPr="00DE4109" w:rsidRDefault="00DE4109" w:rsidP="00DE4109">
            <w:pPr>
              <w:jc w:val="right"/>
              <w:rPr>
                <w:rFonts w:ascii="Arial" w:hAnsi="Arial" w:cs="Arial"/>
                <w:b/>
                <w:bCs/>
                <w:sz w:val="24"/>
                <w:szCs w:val="24"/>
              </w:rPr>
            </w:pPr>
            <w:r w:rsidRPr="00DE4109">
              <w:rPr>
                <w:rFonts w:ascii="Arial" w:hAnsi="Arial" w:cs="Arial"/>
                <w:b/>
                <w:bCs/>
              </w:rPr>
              <w:t>£1,253</w:t>
            </w:r>
          </w:p>
        </w:tc>
        <w:tc>
          <w:tcPr>
            <w:tcW w:w="1217" w:type="dxa"/>
          </w:tcPr>
          <w:p w14:paraId="00CEB0CC" w14:textId="0EF20062" w:rsidR="00DE4109" w:rsidRPr="00DE4109" w:rsidRDefault="00DE4109" w:rsidP="00DE4109">
            <w:pPr>
              <w:jc w:val="right"/>
              <w:rPr>
                <w:rFonts w:ascii="Arial" w:hAnsi="Arial" w:cs="Arial"/>
                <w:b/>
                <w:bCs/>
                <w:sz w:val="24"/>
                <w:szCs w:val="24"/>
              </w:rPr>
            </w:pPr>
            <w:r w:rsidRPr="00DE4109">
              <w:rPr>
                <w:rFonts w:ascii="Arial" w:hAnsi="Arial" w:cs="Arial"/>
                <w:b/>
                <w:bCs/>
              </w:rPr>
              <w:t>£476</w:t>
            </w:r>
          </w:p>
        </w:tc>
        <w:tc>
          <w:tcPr>
            <w:tcW w:w="1217" w:type="dxa"/>
          </w:tcPr>
          <w:p w14:paraId="7E7D433D" w14:textId="6B63402D" w:rsidR="00DE4109" w:rsidRPr="00DE4109" w:rsidRDefault="00DE4109" w:rsidP="00DE4109">
            <w:pPr>
              <w:jc w:val="right"/>
              <w:rPr>
                <w:rFonts w:ascii="Arial" w:hAnsi="Arial" w:cs="Arial"/>
                <w:b/>
                <w:bCs/>
                <w:color w:val="FF0000"/>
                <w:sz w:val="24"/>
                <w:szCs w:val="24"/>
              </w:rPr>
            </w:pPr>
            <w:r w:rsidRPr="00DE4109">
              <w:rPr>
                <w:rFonts w:ascii="Arial" w:hAnsi="Arial" w:cs="Arial"/>
                <w:b/>
                <w:bCs/>
                <w:color w:val="FF0000"/>
              </w:rPr>
              <w:t>-£777</w:t>
            </w:r>
          </w:p>
        </w:tc>
      </w:tr>
    </w:tbl>
    <w:p w14:paraId="0456E4A3" w14:textId="77777777" w:rsidR="00134A6D" w:rsidRPr="00934310" w:rsidRDefault="00134A6D" w:rsidP="00134A6D">
      <w:pPr>
        <w:rPr>
          <w:rFonts w:ascii="Arial" w:hAnsi="Arial" w:cs="Arial"/>
          <w:sz w:val="24"/>
          <w:szCs w:val="24"/>
        </w:rPr>
      </w:pPr>
    </w:p>
    <w:p w14:paraId="148DFFB5" w14:textId="77777777" w:rsidR="00134A6D" w:rsidRPr="00934310" w:rsidRDefault="00134A6D" w:rsidP="00134A6D">
      <w:pPr>
        <w:numPr>
          <w:ilvl w:val="0"/>
          <w:numId w:val="1"/>
        </w:numPr>
        <w:contextualSpacing/>
        <w:rPr>
          <w:rFonts w:ascii="Arial" w:hAnsi="Arial" w:cs="Arial"/>
          <w:sz w:val="24"/>
          <w:szCs w:val="24"/>
        </w:rPr>
      </w:pPr>
      <w:r w:rsidRPr="00934310">
        <w:rPr>
          <w:rFonts w:ascii="Arial" w:hAnsi="Arial" w:cs="Arial"/>
          <w:sz w:val="24"/>
          <w:szCs w:val="24"/>
        </w:rPr>
        <w:t>Funding for licences has been allocated based on the amount notified by the DfE</w:t>
      </w:r>
    </w:p>
    <w:p w14:paraId="269788F7" w14:textId="77777777" w:rsidR="00134A6D" w:rsidRPr="00934310" w:rsidRDefault="00134A6D" w:rsidP="00134A6D">
      <w:pPr>
        <w:ind w:left="786"/>
        <w:contextualSpacing/>
        <w:rPr>
          <w:rFonts w:ascii="Arial" w:hAnsi="Arial" w:cs="Arial"/>
          <w:sz w:val="24"/>
          <w:szCs w:val="24"/>
        </w:rPr>
      </w:pPr>
    </w:p>
    <w:p w14:paraId="1E6E26C7" w14:textId="1CB11A02" w:rsidR="00134A6D" w:rsidRPr="00934310" w:rsidRDefault="00134A6D" w:rsidP="00134A6D">
      <w:pPr>
        <w:numPr>
          <w:ilvl w:val="0"/>
          <w:numId w:val="1"/>
        </w:numPr>
        <w:contextualSpacing/>
        <w:rPr>
          <w:rFonts w:ascii="Arial" w:hAnsi="Arial" w:cs="Arial"/>
          <w:sz w:val="24"/>
          <w:szCs w:val="24"/>
        </w:rPr>
      </w:pPr>
      <w:r w:rsidRPr="00934310">
        <w:rPr>
          <w:rFonts w:ascii="Arial" w:hAnsi="Arial" w:cs="Arial"/>
          <w:sz w:val="24"/>
          <w:szCs w:val="24"/>
        </w:rPr>
        <w:t xml:space="preserve">Primary expansions </w:t>
      </w:r>
      <w:proofErr w:type="gramStart"/>
      <w:r w:rsidRPr="00934310">
        <w:rPr>
          <w:rFonts w:ascii="Arial" w:hAnsi="Arial" w:cs="Arial"/>
          <w:sz w:val="24"/>
          <w:szCs w:val="24"/>
        </w:rPr>
        <w:t>is</w:t>
      </w:r>
      <w:proofErr w:type="gramEnd"/>
      <w:r w:rsidRPr="00934310">
        <w:rPr>
          <w:rFonts w:ascii="Arial" w:hAnsi="Arial" w:cs="Arial"/>
          <w:sz w:val="24"/>
          <w:szCs w:val="24"/>
        </w:rPr>
        <w:t xml:space="preserve"> based on a number of legacy schools still requiring bulge class funding </w:t>
      </w:r>
      <w:r w:rsidR="00DE4109">
        <w:rPr>
          <w:rFonts w:ascii="Arial" w:hAnsi="Arial" w:cs="Arial"/>
          <w:sz w:val="24"/>
          <w:szCs w:val="24"/>
        </w:rPr>
        <w:t xml:space="preserve">however a contingency was set aside for bulge classes in older year groups but this is no longer needed and is an underspend released back to the contingency. </w:t>
      </w:r>
    </w:p>
    <w:p w14:paraId="02D258DE" w14:textId="77777777" w:rsidR="00134A6D" w:rsidRPr="00934310" w:rsidRDefault="00134A6D" w:rsidP="00134A6D">
      <w:pPr>
        <w:ind w:left="786"/>
        <w:contextualSpacing/>
        <w:rPr>
          <w:rFonts w:ascii="Arial" w:hAnsi="Arial" w:cs="Arial"/>
          <w:sz w:val="24"/>
          <w:szCs w:val="24"/>
        </w:rPr>
      </w:pPr>
    </w:p>
    <w:p w14:paraId="5AA7F571" w14:textId="256CC71B" w:rsidR="00134A6D" w:rsidRDefault="00134A6D" w:rsidP="00134A6D">
      <w:pPr>
        <w:numPr>
          <w:ilvl w:val="0"/>
          <w:numId w:val="1"/>
        </w:numPr>
        <w:contextualSpacing/>
        <w:rPr>
          <w:rFonts w:ascii="Arial" w:hAnsi="Arial" w:cs="Arial"/>
          <w:sz w:val="24"/>
          <w:szCs w:val="24"/>
        </w:rPr>
      </w:pPr>
      <w:r w:rsidRPr="00934310">
        <w:rPr>
          <w:rFonts w:ascii="Arial" w:hAnsi="Arial" w:cs="Arial"/>
          <w:sz w:val="24"/>
          <w:szCs w:val="24"/>
        </w:rPr>
        <w:lastRenderedPageBreak/>
        <w:t xml:space="preserve">Secondary expansions </w:t>
      </w:r>
      <w:proofErr w:type="gramStart"/>
      <w:r w:rsidRPr="00934310">
        <w:rPr>
          <w:rFonts w:ascii="Arial" w:hAnsi="Arial" w:cs="Arial"/>
          <w:sz w:val="24"/>
          <w:szCs w:val="24"/>
        </w:rPr>
        <w:t>is</w:t>
      </w:r>
      <w:proofErr w:type="gramEnd"/>
      <w:r w:rsidRPr="00934310">
        <w:rPr>
          <w:rFonts w:ascii="Arial" w:hAnsi="Arial" w:cs="Arial"/>
          <w:sz w:val="24"/>
          <w:szCs w:val="24"/>
        </w:rPr>
        <w:t xml:space="preserve"> based on the school roll projections (published July 2020) which suggest there will be a shortage of places of around 74 in September 2021. In addition, this has been scaled up to reflect the proportion of places that had to be initially over offered in September 2020, taking the potential shortfall to 108 and rounding up to 4FE. This has been calculated using KS3 basic entitlement.</w:t>
      </w:r>
    </w:p>
    <w:p w14:paraId="0AB1BFE1" w14:textId="77777777" w:rsidR="00DE4109" w:rsidRDefault="00DE4109" w:rsidP="00DE4109">
      <w:pPr>
        <w:ind w:left="720"/>
        <w:contextualSpacing/>
        <w:rPr>
          <w:rFonts w:ascii="Arial" w:hAnsi="Arial" w:cs="Arial"/>
          <w:sz w:val="24"/>
          <w:szCs w:val="24"/>
        </w:rPr>
      </w:pPr>
    </w:p>
    <w:p w14:paraId="591F136D" w14:textId="78F5D9CF" w:rsidR="00DE4109" w:rsidRPr="00934310" w:rsidRDefault="00DE4109" w:rsidP="00134A6D">
      <w:pPr>
        <w:numPr>
          <w:ilvl w:val="0"/>
          <w:numId w:val="1"/>
        </w:numPr>
        <w:contextualSpacing/>
        <w:rPr>
          <w:rFonts w:ascii="Arial" w:hAnsi="Arial" w:cs="Arial"/>
          <w:sz w:val="24"/>
          <w:szCs w:val="24"/>
        </w:rPr>
      </w:pPr>
      <w:r>
        <w:rPr>
          <w:rFonts w:ascii="Arial" w:hAnsi="Arial" w:cs="Arial"/>
          <w:sz w:val="24"/>
          <w:szCs w:val="24"/>
        </w:rPr>
        <w:t>However secondary schools have managed the growth without opening additional classes and therefore this is an underspend released back to the contingency.</w:t>
      </w:r>
    </w:p>
    <w:p w14:paraId="77A7F512" w14:textId="77777777" w:rsidR="00134A6D" w:rsidRPr="004F4786" w:rsidRDefault="00134A6D" w:rsidP="007211DF">
      <w:pPr>
        <w:rPr>
          <w:rFonts w:ascii="Arial" w:hAnsi="Arial" w:cs="Arial"/>
          <w:b/>
          <w:sz w:val="24"/>
          <w:szCs w:val="24"/>
        </w:rPr>
      </w:pPr>
    </w:p>
    <w:p w14:paraId="5C7064C7" w14:textId="0171B3E5" w:rsidR="00DA038C" w:rsidRPr="004F4786" w:rsidRDefault="007211DF" w:rsidP="007211DF">
      <w:pPr>
        <w:rPr>
          <w:rFonts w:ascii="Arial" w:hAnsi="Arial" w:cs="Arial"/>
          <w:b/>
          <w:sz w:val="24"/>
          <w:szCs w:val="24"/>
        </w:rPr>
      </w:pPr>
      <w:r w:rsidRPr="004F4786">
        <w:rPr>
          <w:rFonts w:ascii="Arial" w:hAnsi="Arial" w:cs="Arial"/>
          <w:b/>
          <w:sz w:val="24"/>
          <w:szCs w:val="24"/>
        </w:rPr>
        <w:t>Contingency</w:t>
      </w:r>
    </w:p>
    <w:p w14:paraId="5ED7182F" w14:textId="71B50190" w:rsidR="00446947" w:rsidRPr="004F4786" w:rsidRDefault="00446947" w:rsidP="00BE5F52">
      <w:pPr>
        <w:pStyle w:val="ListParagraph"/>
        <w:numPr>
          <w:ilvl w:val="0"/>
          <w:numId w:val="1"/>
        </w:numPr>
        <w:rPr>
          <w:rFonts w:ascii="Arial" w:hAnsi="Arial" w:cs="Arial"/>
          <w:sz w:val="24"/>
          <w:szCs w:val="24"/>
        </w:rPr>
      </w:pPr>
      <w:r w:rsidRPr="004F4786">
        <w:rPr>
          <w:rFonts w:ascii="Arial" w:hAnsi="Arial" w:cs="Arial"/>
          <w:sz w:val="24"/>
          <w:szCs w:val="24"/>
        </w:rPr>
        <w:t xml:space="preserve">The </w:t>
      </w:r>
      <w:r w:rsidR="004F4786" w:rsidRPr="004F4786">
        <w:rPr>
          <w:rFonts w:ascii="Arial" w:hAnsi="Arial" w:cs="Arial"/>
          <w:sz w:val="24"/>
          <w:szCs w:val="24"/>
        </w:rPr>
        <w:t xml:space="preserve">following table shows the projected contingency position </w:t>
      </w:r>
      <w:r w:rsidR="0085761C">
        <w:rPr>
          <w:rFonts w:ascii="Arial" w:hAnsi="Arial" w:cs="Arial"/>
          <w:sz w:val="24"/>
          <w:szCs w:val="24"/>
        </w:rPr>
        <w:t>for 2021-22.</w:t>
      </w:r>
    </w:p>
    <w:tbl>
      <w:tblPr>
        <w:tblStyle w:val="TableGrid"/>
        <w:tblW w:w="0" w:type="auto"/>
        <w:tblLook w:val="04A0" w:firstRow="1" w:lastRow="0" w:firstColumn="1" w:lastColumn="0" w:noHBand="0" w:noVBand="1"/>
      </w:tblPr>
      <w:tblGrid>
        <w:gridCol w:w="5521"/>
        <w:gridCol w:w="1134"/>
        <w:gridCol w:w="1134"/>
        <w:gridCol w:w="1221"/>
      </w:tblGrid>
      <w:tr w:rsidR="0085761C" w14:paraId="0FF85E38" w14:textId="77777777" w:rsidTr="0085761C">
        <w:tc>
          <w:tcPr>
            <w:tcW w:w="5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547037E2" w14:textId="2798DFB8" w:rsidR="0085761C" w:rsidRDefault="0085761C" w:rsidP="0085761C">
            <w:pPr>
              <w:rPr>
                <w:rFonts w:ascii="Arial" w:hAnsi="Arial" w:cs="Arial"/>
                <w:sz w:val="24"/>
                <w:szCs w:val="24"/>
              </w:rPr>
            </w:pPr>
            <w:r>
              <w:rPr>
                <w:rFonts w:ascii="Arial" w:hAnsi="Arial" w:cs="Arial"/>
                <w:b/>
                <w:bCs/>
                <w:color w:val="000000"/>
              </w:rPr>
              <w:t>Description</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701CCF09" w14:textId="2ECB6A4A" w:rsidR="0085761C" w:rsidRDefault="0085761C" w:rsidP="0085761C">
            <w:pPr>
              <w:rPr>
                <w:rFonts w:ascii="Arial" w:hAnsi="Arial" w:cs="Arial"/>
                <w:sz w:val="24"/>
                <w:szCs w:val="24"/>
              </w:rPr>
            </w:pPr>
            <w:r>
              <w:rPr>
                <w:rFonts w:ascii="Arial" w:hAnsi="Arial" w:cs="Arial"/>
                <w:b/>
                <w:bCs/>
                <w:color w:val="000000"/>
              </w:rPr>
              <w:t>Balance</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1C3F88BA" w14:textId="4CB9678F" w:rsidR="0085761C" w:rsidRDefault="0085761C" w:rsidP="0085761C">
            <w:pPr>
              <w:rPr>
                <w:rFonts w:ascii="Arial" w:hAnsi="Arial" w:cs="Arial"/>
                <w:sz w:val="24"/>
                <w:szCs w:val="24"/>
              </w:rPr>
            </w:pPr>
            <w:r>
              <w:rPr>
                <w:rFonts w:ascii="Arial" w:hAnsi="Arial" w:cs="Arial"/>
                <w:b/>
                <w:bCs/>
                <w:color w:val="000000"/>
              </w:rPr>
              <w:t>Forecast</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4C6D162B" w14:textId="7FC6A825" w:rsidR="0085761C" w:rsidRPr="0085761C" w:rsidRDefault="0085761C" w:rsidP="0085761C">
            <w:pPr>
              <w:rPr>
                <w:rFonts w:ascii="Arial" w:hAnsi="Arial" w:cs="Arial"/>
                <w:b/>
                <w:bCs/>
                <w:sz w:val="24"/>
                <w:szCs w:val="24"/>
              </w:rPr>
            </w:pPr>
            <w:r w:rsidRPr="0085761C">
              <w:rPr>
                <w:rFonts w:ascii="Arial" w:hAnsi="Arial" w:cs="Arial"/>
                <w:b/>
                <w:bCs/>
                <w:color w:val="000000"/>
              </w:rPr>
              <w:t>Variance</w:t>
            </w:r>
          </w:p>
        </w:tc>
      </w:tr>
      <w:tr w:rsidR="0085761C" w14:paraId="37050455" w14:textId="77777777" w:rsidTr="0085761C">
        <w:tc>
          <w:tcPr>
            <w:tcW w:w="55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4341B7" w14:textId="032D936C" w:rsidR="0085761C" w:rsidRDefault="0085761C" w:rsidP="0085761C">
            <w:pPr>
              <w:rPr>
                <w:rFonts w:ascii="Arial" w:hAnsi="Arial" w:cs="Arial"/>
                <w:sz w:val="24"/>
                <w:szCs w:val="24"/>
              </w:rPr>
            </w:pPr>
            <w:r>
              <w:rPr>
                <w:rFonts w:ascii="Arial" w:hAnsi="Arial" w:cs="Arial"/>
                <w:color w:val="000000"/>
              </w:rPr>
              <w:t xml:space="preserve">High Needs Block Projects </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3CEC3D" w14:textId="067D5301" w:rsidR="0085761C" w:rsidRDefault="0085761C" w:rsidP="0085761C">
            <w:pPr>
              <w:jc w:val="right"/>
              <w:rPr>
                <w:rFonts w:ascii="Arial" w:hAnsi="Arial" w:cs="Arial"/>
                <w:sz w:val="24"/>
                <w:szCs w:val="24"/>
              </w:rPr>
            </w:pPr>
            <w:r>
              <w:rPr>
                <w:rFonts w:ascii="Arial" w:hAnsi="Arial" w:cs="Arial"/>
                <w:color w:val="000000"/>
              </w:rPr>
              <w:t>£274</w:t>
            </w:r>
          </w:p>
        </w:tc>
        <w:tc>
          <w:tcPr>
            <w:tcW w:w="113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3FA312" w14:textId="10E60CC2" w:rsidR="0085761C" w:rsidRDefault="0085761C" w:rsidP="0085761C">
            <w:pPr>
              <w:jc w:val="right"/>
              <w:rPr>
                <w:rFonts w:ascii="Arial" w:hAnsi="Arial" w:cs="Arial"/>
                <w:sz w:val="24"/>
                <w:szCs w:val="24"/>
              </w:rPr>
            </w:pPr>
            <w:r>
              <w:rPr>
                <w:rFonts w:ascii="Arial" w:hAnsi="Arial" w:cs="Arial"/>
                <w:color w:val="000000"/>
              </w:rPr>
              <w:t>£274</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55FCB3F" w14:textId="64842C35" w:rsidR="0085761C" w:rsidRDefault="0085761C" w:rsidP="0085761C">
            <w:pPr>
              <w:jc w:val="right"/>
              <w:rPr>
                <w:rFonts w:ascii="Arial" w:hAnsi="Arial" w:cs="Arial"/>
                <w:sz w:val="24"/>
                <w:szCs w:val="24"/>
              </w:rPr>
            </w:pPr>
            <w:r>
              <w:rPr>
                <w:rFonts w:ascii="Arial" w:hAnsi="Arial" w:cs="Arial"/>
                <w:color w:val="000000"/>
              </w:rPr>
              <w:t>£0</w:t>
            </w:r>
          </w:p>
        </w:tc>
      </w:tr>
      <w:tr w:rsidR="0085761C" w14:paraId="45BF48C9" w14:textId="77777777" w:rsidTr="0085761C">
        <w:tc>
          <w:tcPr>
            <w:tcW w:w="5521" w:type="dxa"/>
            <w:tcBorders>
              <w:top w:val="single" w:sz="6" w:space="0" w:color="000000" w:themeColor="text1"/>
              <w:left w:val="single" w:sz="8" w:space="0" w:color="auto"/>
              <w:bottom w:val="single" w:sz="8" w:space="0" w:color="auto"/>
              <w:right w:val="single" w:sz="8" w:space="0" w:color="auto"/>
            </w:tcBorders>
            <w:shd w:val="clear" w:color="auto" w:fill="auto"/>
            <w:vAlign w:val="center"/>
          </w:tcPr>
          <w:p w14:paraId="4F9A1CE6" w14:textId="3DA0D19F" w:rsidR="0085761C" w:rsidRDefault="0085761C" w:rsidP="0085761C">
            <w:pPr>
              <w:rPr>
                <w:rFonts w:ascii="Arial" w:hAnsi="Arial" w:cs="Arial"/>
                <w:sz w:val="24"/>
                <w:szCs w:val="24"/>
              </w:rPr>
            </w:pPr>
            <w:r>
              <w:rPr>
                <w:rFonts w:ascii="Arial" w:hAnsi="Arial" w:cs="Arial"/>
                <w:color w:val="000000"/>
              </w:rPr>
              <w:t>Raising Achievement BBCH Project Y1 (agreed &amp; released)</w:t>
            </w:r>
          </w:p>
        </w:tc>
        <w:tc>
          <w:tcPr>
            <w:tcW w:w="1134" w:type="dxa"/>
            <w:tcBorders>
              <w:top w:val="single" w:sz="6" w:space="0" w:color="000000" w:themeColor="text1"/>
              <w:left w:val="nil"/>
              <w:bottom w:val="single" w:sz="8" w:space="0" w:color="auto"/>
              <w:right w:val="single" w:sz="8" w:space="0" w:color="auto"/>
            </w:tcBorders>
            <w:shd w:val="clear" w:color="auto" w:fill="auto"/>
            <w:vAlign w:val="center"/>
          </w:tcPr>
          <w:p w14:paraId="6653784C" w14:textId="5D96932E" w:rsidR="0085761C" w:rsidRDefault="0085761C" w:rsidP="0085761C">
            <w:pPr>
              <w:jc w:val="right"/>
              <w:rPr>
                <w:rFonts w:ascii="Arial" w:hAnsi="Arial" w:cs="Arial"/>
                <w:sz w:val="24"/>
                <w:szCs w:val="24"/>
              </w:rPr>
            </w:pPr>
            <w:r>
              <w:rPr>
                <w:rFonts w:ascii="Arial" w:hAnsi="Arial" w:cs="Arial"/>
                <w:color w:val="000000"/>
              </w:rPr>
              <w:t>£80</w:t>
            </w:r>
          </w:p>
        </w:tc>
        <w:tc>
          <w:tcPr>
            <w:tcW w:w="1134" w:type="dxa"/>
            <w:tcBorders>
              <w:top w:val="single" w:sz="6" w:space="0" w:color="000000" w:themeColor="text1"/>
              <w:left w:val="nil"/>
              <w:bottom w:val="single" w:sz="8" w:space="0" w:color="auto"/>
              <w:right w:val="single" w:sz="8" w:space="0" w:color="auto"/>
            </w:tcBorders>
            <w:shd w:val="clear" w:color="auto" w:fill="auto"/>
            <w:vAlign w:val="center"/>
          </w:tcPr>
          <w:p w14:paraId="2B3AE629" w14:textId="7499446B" w:rsidR="0085761C" w:rsidRDefault="0085761C" w:rsidP="0085761C">
            <w:pPr>
              <w:jc w:val="right"/>
              <w:rPr>
                <w:rFonts w:ascii="Arial" w:hAnsi="Arial" w:cs="Arial"/>
                <w:sz w:val="24"/>
                <w:szCs w:val="24"/>
              </w:rPr>
            </w:pPr>
            <w:r>
              <w:rPr>
                <w:rFonts w:ascii="Arial" w:hAnsi="Arial" w:cs="Arial"/>
                <w:color w:val="000000"/>
              </w:rPr>
              <w:t>£80</w:t>
            </w:r>
          </w:p>
        </w:tc>
        <w:tc>
          <w:tcPr>
            <w:tcW w:w="1221" w:type="dxa"/>
            <w:tcBorders>
              <w:top w:val="single" w:sz="6" w:space="0" w:color="000000" w:themeColor="text1"/>
              <w:left w:val="nil"/>
              <w:bottom w:val="single" w:sz="8" w:space="0" w:color="auto"/>
              <w:right w:val="single" w:sz="8" w:space="0" w:color="auto"/>
            </w:tcBorders>
            <w:shd w:val="clear" w:color="auto" w:fill="auto"/>
            <w:vAlign w:val="center"/>
          </w:tcPr>
          <w:p w14:paraId="0D9C719D" w14:textId="36E2AE9D" w:rsidR="0085761C" w:rsidRDefault="0085761C" w:rsidP="0085761C">
            <w:pPr>
              <w:jc w:val="right"/>
              <w:rPr>
                <w:rFonts w:ascii="Arial" w:hAnsi="Arial" w:cs="Arial"/>
                <w:sz w:val="24"/>
                <w:szCs w:val="24"/>
              </w:rPr>
            </w:pPr>
            <w:r>
              <w:rPr>
                <w:rFonts w:ascii="Arial" w:hAnsi="Arial" w:cs="Arial"/>
                <w:color w:val="000000"/>
              </w:rPr>
              <w:t>£0</w:t>
            </w:r>
          </w:p>
        </w:tc>
      </w:tr>
      <w:tr w:rsidR="0085761C" w14:paraId="79D3BCEF" w14:textId="77777777" w:rsidTr="0085761C">
        <w:tc>
          <w:tcPr>
            <w:tcW w:w="5521" w:type="dxa"/>
            <w:tcBorders>
              <w:top w:val="nil"/>
              <w:left w:val="single" w:sz="8" w:space="0" w:color="auto"/>
              <w:bottom w:val="single" w:sz="8" w:space="0" w:color="auto"/>
              <w:right w:val="single" w:sz="8" w:space="0" w:color="auto"/>
            </w:tcBorders>
            <w:shd w:val="clear" w:color="auto" w:fill="auto"/>
            <w:vAlign w:val="center"/>
          </w:tcPr>
          <w:p w14:paraId="5683FF8D" w14:textId="31518CAF" w:rsidR="0085761C" w:rsidRDefault="0085761C" w:rsidP="0085761C">
            <w:pPr>
              <w:rPr>
                <w:rFonts w:ascii="Arial" w:hAnsi="Arial" w:cs="Arial"/>
                <w:sz w:val="24"/>
                <w:szCs w:val="24"/>
              </w:rPr>
            </w:pPr>
            <w:r>
              <w:rPr>
                <w:rFonts w:ascii="Arial" w:hAnsi="Arial" w:cs="Arial"/>
                <w:color w:val="000000"/>
              </w:rPr>
              <w:t>Raising Achievement BBCH Project Y2 (agreed in principle)</w:t>
            </w:r>
          </w:p>
        </w:tc>
        <w:tc>
          <w:tcPr>
            <w:tcW w:w="1134" w:type="dxa"/>
            <w:tcBorders>
              <w:top w:val="nil"/>
              <w:left w:val="nil"/>
              <w:bottom w:val="single" w:sz="8" w:space="0" w:color="auto"/>
              <w:right w:val="single" w:sz="8" w:space="0" w:color="auto"/>
            </w:tcBorders>
            <w:shd w:val="clear" w:color="auto" w:fill="auto"/>
            <w:vAlign w:val="center"/>
          </w:tcPr>
          <w:p w14:paraId="20EFB9CA" w14:textId="208EF2A3" w:rsidR="0085761C" w:rsidRDefault="0085761C" w:rsidP="0085761C">
            <w:pPr>
              <w:jc w:val="right"/>
              <w:rPr>
                <w:rFonts w:ascii="Arial" w:hAnsi="Arial" w:cs="Arial"/>
                <w:sz w:val="24"/>
                <w:szCs w:val="24"/>
              </w:rPr>
            </w:pPr>
            <w:r>
              <w:rPr>
                <w:rFonts w:ascii="Arial" w:hAnsi="Arial" w:cs="Arial"/>
                <w:color w:val="000000"/>
              </w:rPr>
              <w:t>£150</w:t>
            </w:r>
          </w:p>
        </w:tc>
        <w:tc>
          <w:tcPr>
            <w:tcW w:w="1134" w:type="dxa"/>
            <w:tcBorders>
              <w:top w:val="nil"/>
              <w:left w:val="nil"/>
              <w:bottom w:val="single" w:sz="8" w:space="0" w:color="auto"/>
              <w:right w:val="single" w:sz="8" w:space="0" w:color="auto"/>
            </w:tcBorders>
            <w:shd w:val="clear" w:color="auto" w:fill="auto"/>
            <w:vAlign w:val="center"/>
          </w:tcPr>
          <w:p w14:paraId="27B72DA3" w14:textId="26FF219F" w:rsidR="0085761C" w:rsidRDefault="0085761C" w:rsidP="0085761C">
            <w:pPr>
              <w:jc w:val="right"/>
              <w:rPr>
                <w:rFonts w:ascii="Arial" w:hAnsi="Arial" w:cs="Arial"/>
                <w:sz w:val="24"/>
                <w:szCs w:val="24"/>
              </w:rPr>
            </w:pPr>
            <w:r>
              <w:rPr>
                <w:rFonts w:ascii="Arial" w:hAnsi="Arial" w:cs="Arial"/>
                <w:color w:val="000000"/>
              </w:rPr>
              <w:t>£150</w:t>
            </w:r>
          </w:p>
        </w:tc>
        <w:tc>
          <w:tcPr>
            <w:tcW w:w="1221" w:type="dxa"/>
            <w:tcBorders>
              <w:top w:val="nil"/>
              <w:left w:val="nil"/>
              <w:bottom w:val="single" w:sz="8" w:space="0" w:color="auto"/>
              <w:right w:val="single" w:sz="8" w:space="0" w:color="auto"/>
            </w:tcBorders>
            <w:shd w:val="clear" w:color="auto" w:fill="auto"/>
            <w:vAlign w:val="center"/>
          </w:tcPr>
          <w:p w14:paraId="395E82FC" w14:textId="24B99267" w:rsidR="0085761C" w:rsidRDefault="0085761C" w:rsidP="0085761C">
            <w:pPr>
              <w:jc w:val="right"/>
              <w:rPr>
                <w:rFonts w:ascii="Arial" w:hAnsi="Arial" w:cs="Arial"/>
                <w:sz w:val="24"/>
                <w:szCs w:val="24"/>
              </w:rPr>
            </w:pPr>
            <w:r>
              <w:rPr>
                <w:rFonts w:ascii="Arial" w:hAnsi="Arial" w:cs="Arial"/>
                <w:color w:val="000000"/>
              </w:rPr>
              <w:t>£0</w:t>
            </w:r>
          </w:p>
        </w:tc>
      </w:tr>
      <w:tr w:rsidR="0085761C" w14:paraId="6F3B1DE2" w14:textId="77777777" w:rsidTr="0085761C">
        <w:tc>
          <w:tcPr>
            <w:tcW w:w="5521" w:type="dxa"/>
            <w:tcBorders>
              <w:top w:val="nil"/>
              <w:left w:val="single" w:sz="8" w:space="0" w:color="auto"/>
              <w:bottom w:val="single" w:sz="8" w:space="0" w:color="auto"/>
              <w:right w:val="single" w:sz="8" w:space="0" w:color="auto"/>
            </w:tcBorders>
            <w:shd w:val="clear" w:color="auto" w:fill="auto"/>
            <w:vAlign w:val="center"/>
          </w:tcPr>
          <w:p w14:paraId="4B04104A" w14:textId="7E323163" w:rsidR="0085761C" w:rsidRDefault="0085761C" w:rsidP="0085761C">
            <w:pPr>
              <w:rPr>
                <w:rFonts w:ascii="Arial" w:hAnsi="Arial" w:cs="Arial"/>
                <w:sz w:val="24"/>
                <w:szCs w:val="24"/>
              </w:rPr>
            </w:pPr>
            <w:r>
              <w:rPr>
                <w:rFonts w:ascii="Arial" w:hAnsi="Arial" w:cs="Arial"/>
                <w:color w:val="000000"/>
              </w:rPr>
              <w:t>Establishment of ‘Covid Support Fund’</w:t>
            </w:r>
          </w:p>
        </w:tc>
        <w:tc>
          <w:tcPr>
            <w:tcW w:w="1134" w:type="dxa"/>
            <w:tcBorders>
              <w:top w:val="nil"/>
              <w:left w:val="nil"/>
              <w:bottom w:val="single" w:sz="8" w:space="0" w:color="auto"/>
              <w:right w:val="single" w:sz="8" w:space="0" w:color="auto"/>
            </w:tcBorders>
            <w:shd w:val="clear" w:color="auto" w:fill="auto"/>
            <w:vAlign w:val="center"/>
          </w:tcPr>
          <w:p w14:paraId="75F1BD46" w14:textId="669D971A" w:rsidR="0085761C" w:rsidRDefault="0085761C" w:rsidP="0085761C">
            <w:pPr>
              <w:jc w:val="right"/>
              <w:rPr>
                <w:rFonts w:ascii="Arial" w:hAnsi="Arial" w:cs="Arial"/>
                <w:sz w:val="24"/>
                <w:szCs w:val="24"/>
              </w:rPr>
            </w:pPr>
            <w:r>
              <w:rPr>
                <w:rFonts w:ascii="Arial" w:hAnsi="Arial" w:cs="Arial"/>
                <w:color w:val="000000"/>
              </w:rPr>
              <w:t>£552</w:t>
            </w:r>
          </w:p>
        </w:tc>
        <w:tc>
          <w:tcPr>
            <w:tcW w:w="1134" w:type="dxa"/>
            <w:tcBorders>
              <w:top w:val="nil"/>
              <w:left w:val="nil"/>
              <w:bottom w:val="single" w:sz="8" w:space="0" w:color="auto"/>
              <w:right w:val="single" w:sz="8" w:space="0" w:color="auto"/>
            </w:tcBorders>
            <w:shd w:val="clear" w:color="auto" w:fill="auto"/>
            <w:vAlign w:val="center"/>
          </w:tcPr>
          <w:p w14:paraId="55F710D4" w14:textId="46BAAF44" w:rsidR="0085761C" w:rsidRDefault="0085761C" w:rsidP="0085761C">
            <w:pPr>
              <w:jc w:val="right"/>
              <w:rPr>
                <w:rFonts w:ascii="Arial" w:hAnsi="Arial" w:cs="Arial"/>
                <w:sz w:val="24"/>
                <w:szCs w:val="24"/>
              </w:rPr>
            </w:pPr>
            <w:r>
              <w:rPr>
                <w:rFonts w:ascii="Arial" w:hAnsi="Arial" w:cs="Arial"/>
                <w:color w:val="000000"/>
              </w:rPr>
              <w:t>£193</w:t>
            </w:r>
          </w:p>
        </w:tc>
        <w:tc>
          <w:tcPr>
            <w:tcW w:w="1221" w:type="dxa"/>
            <w:tcBorders>
              <w:top w:val="nil"/>
              <w:left w:val="nil"/>
              <w:bottom w:val="single" w:sz="8" w:space="0" w:color="auto"/>
              <w:right w:val="single" w:sz="8" w:space="0" w:color="auto"/>
            </w:tcBorders>
            <w:shd w:val="clear" w:color="auto" w:fill="auto"/>
            <w:vAlign w:val="center"/>
          </w:tcPr>
          <w:p w14:paraId="024D6C29" w14:textId="02E28FFC" w:rsidR="0085761C" w:rsidRDefault="0085761C" w:rsidP="0085761C">
            <w:pPr>
              <w:jc w:val="right"/>
              <w:rPr>
                <w:rFonts w:ascii="Arial" w:hAnsi="Arial" w:cs="Arial"/>
                <w:sz w:val="24"/>
                <w:szCs w:val="24"/>
              </w:rPr>
            </w:pPr>
            <w:r>
              <w:rPr>
                <w:rFonts w:ascii="Arial" w:hAnsi="Arial" w:cs="Arial"/>
                <w:color w:val="FF0000"/>
              </w:rPr>
              <w:t>-£359</w:t>
            </w:r>
          </w:p>
        </w:tc>
      </w:tr>
      <w:tr w:rsidR="0085761C" w14:paraId="10D4F453" w14:textId="77777777" w:rsidTr="0085761C">
        <w:tc>
          <w:tcPr>
            <w:tcW w:w="5521" w:type="dxa"/>
            <w:tcBorders>
              <w:top w:val="nil"/>
              <w:left w:val="single" w:sz="8" w:space="0" w:color="auto"/>
              <w:bottom w:val="single" w:sz="8" w:space="0" w:color="auto"/>
              <w:right w:val="single" w:sz="8" w:space="0" w:color="auto"/>
            </w:tcBorders>
            <w:shd w:val="clear" w:color="auto" w:fill="auto"/>
            <w:vAlign w:val="center"/>
          </w:tcPr>
          <w:p w14:paraId="49F661C3" w14:textId="48BA6693" w:rsidR="0085761C" w:rsidRDefault="0085761C" w:rsidP="0085761C">
            <w:pPr>
              <w:rPr>
                <w:rFonts w:ascii="Arial" w:hAnsi="Arial" w:cs="Arial"/>
                <w:sz w:val="24"/>
                <w:szCs w:val="24"/>
              </w:rPr>
            </w:pPr>
            <w:r>
              <w:rPr>
                <w:rFonts w:ascii="Arial" w:hAnsi="Arial" w:cs="Arial"/>
                <w:color w:val="000000"/>
              </w:rPr>
              <w:t>Committed to Schools Funding Formula 2021-22</w:t>
            </w:r>
          </w:p>
        </w:tc>
        <w:tc>
          <w:tcPr>
            <w:tcW w:w="1134" w:type="dxa"/>
            <w:tcBorders>
              <w:top w:val="nil"/>
              <w:left w:val="nil"/>
              <w:bottom w:val="single" w:sz="8" w:space="0" w:color="auto"/>
              <w:right w:val="single" w:sz="8" w:space="0" w:color="auto"/>
            </w:tcBorders>
            <w:shd w:val="clear" w:color="auto" w:fill="auto"/>
            <w:vAlign w:val="center"/>
          </w:tcPr>
          <w:p w14:paraId="0C114D96" w14:textId="31FDFFCE" w:rsidR="0085761C" w:rsidRDefault="0085761C" w:rsidP="0085761C">
            <w:pPr>
              <w:jc w:val="right"/>
              <w:rPr>
                <w:rFonts w:ascii="Arial" w:hAnsi="Arial" w:cs="Arial"/>
                <w:sz w:val="24"/>
                <w:szCs w:val="24"/>
              </w:rPr>
            </w:pPr>
            <w:r>
              <w:rPr>
                <w:rFonts w:ascii="Arial" w:hAnsi="Arial" w:cs="Arial"/>
                <w:color w:val="000000"/>
              </w:rPr>
              <w:t>£632</w:t>
            </w:r>
          </w:p>
        </w:tc>
        <w:tc>
          <w:tcPr>
            <w:tcW w:w="1134" w:type="dxa"/>
            <w:tcBorders>
              <w:top w:val="nil"/>
              <w:left w:val="nil"/>
              <w:bottom w:val="single" w:sz="8" w:space="0" w:color="auto"/>
              <w:right w:val="single" w:sz="8" w:space="0" w:color="auto"/>
            </w:tcBorders>
            <w:shd w:val="clear" w:color="auto" w:fill="auto"/>
            <w:vAlign w:val="center"/>
          </w:tcPr>
          <w:p w14:paraId="0EDA1B82" w14:textId="784B499D" w:rsidR="0085761C" w:rsidRDefault="0085761C" w:rsidP="0085761C">
            <w:pPr>
              <w:jc w:val="right"/>
              <w:rPr>
                <w:rFonts w:ascii="Arial" w:hAnsi="Arial" w:cs="Arial"/>
                <w:sz w:val="24"/>
                <w:szCs w:val="24"/>
              </w:rPr>
            </w:pPr>
            <w:r>
              <w:rPr>
                <w:rFonts w:ascii="Arial" w:hAnsi="Arial" w:cs="Arial"/>
                <w:color w:val="000000"/>
              </w:rPr>
              <w:t>£632</w:t>
            </w:r>
          </w:p>
        </w:tc>
        <w:tc>
          <w:tcPr>
            <w:tcW w:w="1221" w:type="dxa"/>
            <w:tcBorders>
              <w:top w:val="nil"/>
              <w:left w:val="nil"/>
              <w:bottom w:val="single" w:sz="8" w:space="0" w:color="auto"/>
              <w:right w:val="single" w:sz="8" w:space="0" w:color="auto"/>
            </w:tcBorders>
            <w:shd w:val="clear" w:color="auto" w:fill="auto"/>
            <w:vAlign w:val="center"/>
          </w:tcPr>
          <w:p w14:paraId="605DFD8D" w14:textId="7B540CAF" w:rsidR="0085761C" w:rsidRDefault="0085761C" w:rsidP="0085761C">
            <w:pPr>
              <w:jc w:val="right"/>
              <w:rPr>
                <w:rFonts w:ascii="Arial" w:hAnsi="Arial" w:cs="Arial"/>
                <w:sz w:val="24"/>
                <w:szCs w:val="24"/>
              </w:rPr>
            </w:pPr>
            <w:r>
              <w:rPr>
                <w:rFonts w:ascii="Arial" w:hAnsi="Arial" w:cs="Arial"/>
                <w:color w:val="000000"/>
              </w:rPr>
              <w:t>£0</w:t>
            </w:r>
          </w:p>
        </w:tc>
      </w:tr>
      <w:tr w:rsidR="0085761C" w14:paraId="3B7D8E84" w14:textId="77777777" w:rsidTr="0085761C">
        <w:tc>
          <w:tcPr>
            <w:tcW w:w="5521" w:type="dxa"/>
            <w:tcBorders>
              <w:top w:val="nil"/>
              <w:left w:val="single" w:sz="8" w:space="0" w:color="auto"/>
              <w:bottom w:val="single" w:sz="8" w:space="0" w:color="auto"/>
              <w:right w:val="single" w:sz="8" w:space="0" w:color="auto"/>
            </w:tcBorders>
            <w:shd w:val="clear" w:color="auto" w:fill="auto"/>
            <w:vAlign w:val="center"/>
          </w:tcPr>
          <w:p w14:paraId="54ADCF6B" w14:textId="62779121" w:rsidR="0085761C" w:rsidRDefault="0085761C" w:rsidP="0085761C">
            <w:pPr>
              <w:rPr>
                <w:rFonts w:ascii="Arial" w:hAnsi="Arial" w:cs="Arial"/>
                <w:sz w:val="24"/>
                <w:szCs w:val="24"/>
              </w:rPr>
            </w:pPr>
            <w:r>
              <w:rPr>
                <w:rFonts w:ascii="Arial" w:hAnsi="Arial" w:cs="Arial"/>
                <w:color w:val="000000"/>
              </w:rPr>
              <w:t>Earmarked to 2020-21 Early Years Adjustments</w:t>
            </w:r>
          </w:p>
        </w:tc>
        <w:tc>
          <w:tcPr>
            <w:tcW w:w="1134" w:type="dxa"/>
            <w:tcBorders>
              <w:top w:val="nil"/>
              <w:left w:val="nil"/>
              <w:bottom w:val="single" w:sz="8" w:space="0" w:color="auto"/>
              <w:right w:val="single" w:sz="8" w:space="0" w:color="auto"/>
            </w:tcBorders>
            <w:shd w:val="clear" w:color="auto" w:fill="auto"/>
            <w:vAlign w:val="center"/>
          </w:tcPr>
          <w:p w14:paraId="2AFB2FB6" w14:textId="20078D0F" w:rsidR="0085761C" w:rsidRDefault="0085761C" w:rsidP="0085761C">
            <w:pPr>
              <w:jc w:val="right"/>
              <w:rPr>
                <w:rFonts w:ascii="Arial" w:hAnsi="Arial" w:cs="Arial"/>
                <w:sz w:val="24"/>
                <w:szCs w:val="24"/>
              </w:rPr>
            </w:pPr>
            <w:r>
              <w:rPr>
                <w:rFonts w:ascii="Arial" w:hAnsi="Arial" w:cs="Arial"/>
                <w:color w:val="000000"/>
              </w:rPr>
              <w:t>£1,785</w:t>
            </w:r>
          </w:p>
        </w:tc>
        <w:tc>
          <w:tcPr>
            <w:tcW w:w="1134" w:type="dxa"/>
            <w:tcBorders>
              <w:top w:val="nil"/>
              <w:left w:val="nil"/>
              <w:bottom w:val="single" w:sz="8" w:space="0" w:color="auto"/>
              <w:right w:val="single" w:sz="8" w:space="0" w:color="auto"/>
            </w:tcBorders>
            <w:shd w:val="clear" w:color="auto" w:fill="auto"/>
            <w:vAlign w:val="center"/>
          </w:tcPr>
          <w:p w14:paraId="01622BEB" w14:textId="5CBB4BC5" w:rsidR="0085761C" w:rsidRDefault="0085761C" w:rsidP="0085761C">
            <w:pPr>
              <w:jc w:val="right"/>
              <w:rPr>
                <w:rFonts w:ascii="Arial" w:hAnsi="Arial" w:cs="Arial"/>
                <w:sz w:val="24"/>
                <w:szCs w:val="24"/>
              </w:rPr>
            </w:pPr>
            <w:r>
              <w:rPr>
                <w:rFonts w:ascii="Arial" w:hAnsi="Arial" w:cs="Arial"/>
                <w:color w:val="000000"/>
              </w:rPr>
              <w:t>£1,785</w:t>
            </w:r>
          </w:p>
        </w:tc>
        <w:tc>
          <w:tcPr>
            <w:tcW w:w="1221" w:type="dxa"/>
            <w:tcBorders>
              <w:top w:val="nil"/>
              <w:left w:val="nil"/>
              <w:bottom w:val="single" w:sz="8" w:space="0" w:color="auto"/>
              <w:right w:val="single" w:sz="8" w:space="0" w:color="auto"/>
            </w:tcBorders>
            <w:shd w:val="clear" w:color="auto" w:fill="auto"/>
            <w:vAlign w:val="center"/>
          </w:tcPr>
          <w:p w14:paraId="2E3B7ED5" w14:textId="18569DCF" w:rsidR="0085761C" w:rsidRDefault="0085761C" w:rsidP="0085761C">
            <w:pPr>
              <w:jc w:val="right"/>
              <w:rPr>
                <w:rFonts w:ascii="Arial" w:hAnsi="Arial" w:cs="Arial"/>
                <w:sz w:val="24"/>
                <w:szCs w:val="24"/>
              </w:rPr>
            </w:pPr>
            <w:r>
              <w:rPr>
                <w:rFonts w:ascii="Arial" w:hAnsi="Arial" w:cs="Arial"/>
                <w:color w:val="000000"/>
              </w:rPr>
              <w:t>£0</w:t>
            </w:r>
          </w:p>
        </w:tc>
      </w:tr>
      <w:tr w:rsidR="0085761C" w14:paraId="244172C6" w14:textId="77777777" w:rsidTr="0085761C">
        <w:tc>
          <w:tcPr>
            <w:tcW w:w="5521" w:type="dxa"/>
            <w:tcBorders>
              <w:top w:val="nil"/>
              <w:left w:val="single" w:sz="8" w:space="0" w:color="auto"/>
              <w:bottom w:val="single" w:sz="8" w:space="0" w:color="auto"/>
              <w:right w:val="single" w:sz="8" w:space="0" w:color="auto"/>
            </w:tcBorders>
            <w:shd w:val="clear" w:color="auto" w:fill="auto"/>
            <w:vAlign w:val="center"/>
          </w:tcPr>
          <w:p w14:paraId="5AD13AD3" w14:textId="4DF0CE7D" w:rsidR="0085761C" w:rsidRDefault="0085761C" w:rsidP="0085761C">
            <w:pPr>
              <w:rPr>
                <w:rFonts w:ascii="Arial" w:hAnsi="Arial" w:cs="Arial"/>
                <w:sz w:val="24"/>
                <w:szCs w:val="24"/>
              </w:rPr>
            </w:pPr>
            <w:r>
              <w:rPr>
                <w:rFonts w:ascii="Arial" w:hAnsi="Arial" w:cs="Arial"/>
                <w:color w:val="000000"/>
              </w:rPr>
              <w:t>Growth Fund underspend 2021-22</w:t>
            </w:r>
          </w:p>
        </w:tc>
        <w:tc>
          <w:tcPr>
            <w:tcW w:w="1134" w:type="dxa"/>
            <w:tcBorders>
              <w:top w:val="nil"/>
              <w:left w:val="nil"/>
              <w:bottom w:val="single" w:sz="8" w:space="0" w:color="auto"/>
              <w:right w:val="single" w:sz="8" w:space="0" w:color="auto"/>
            </w:tcBorders>
            <w:shd w:val="clear" w:color="auto" w:fill="auto"/>
            <w:vAlign w:val="center"/>
          </w:tcPr>
          <w:p w14:paraId="27CAA325" w14:textId="2A2E6568" w:rsidR="0085761C" w:rsidRDefault="0085761C" w:rsidP="0085761C">
            <w:pPr>
              <w:jc w:val="right"/>
              <w:rPr>
                <w:rFonts w:ascii="Arial" w:hAnsi="Arial" w:cs="Arial"/>
                <w:sz w:val="24"/>
                <w:szCs w:val="24"/>
              </w:rPr>
            </w:pPr>
            <w:r>
              <w:rPr>
                <w:rFonts w:ascii="Arial" w:hAnsi="Arial" w:cs="Arial"/>
                <w:color w:val="000000"/>
              </w:rPr>
              <w:t>£777</w:t>
            </w:r>
          </w:p>
        </w:tc>
        <w:tc>
          <w:tcPr>
            <w:tcW w:w="1134" w:type="dxa"/>
            <w:tcBorders>
              <w:top w:val="nil"/>
              <w:left w:val="nil"/>
              <w:bottom w:val="single" w:sz="8" w:space="0" w:color="auto"/>
              <w:right w:val="single" w:sz="8" w:space="0" w:color="auto"/>
            </w:tcBorders>
            <w:shd w:val="clear" w:color="auto" w:fill="auto"/>
            <w:vAlign w:val="center"/>
          </w:tcPr>
          <w:p w14:paraId="23E18AE6" w14:textId="50F51202" w:rsidR="0085761C" w:rsidRDefault="0085761C" w:rsidP="0085761C">
            <w:pPr>
              <w:jc w:val="right"/>
              <w:rPr>
                <w:rFonts w:ascii="Arial" w:hAnsi="Arial" w:cs="Arial"/>
                <w:sz w:val="24"/>
                <w:szCs w:val="24"/>
              </w:rPr>
            </w:pPr>
            <w:r>
              <w:rPr>
                <w:rFonts w:ascii="Arial" w:hAnsi="Arial" w:cs="Arial"/>
                <w:color w:val="000000"/>
              </w:rPr>
              <w:t>£0</w:t>
            </w:r>
          </w:p>
        </w:tc>
        <w:tc>
          <w:tcPr>
            <w:tcW w:w="1221" w:type="dxa"/>
            <w:tcBorders>
              <w:top w:val="nil"/>
              <w:left w:val="nil"/>
              <w:bottom w:val="single" w:sz="8" w:space="0" w:color="auto"/>
              <w:right w:val="single" w:sz="8" w:space="0" w:color="auto"/>
            </w:tcBorders>
            <w:shd w:val="clear" w:color="auto" w:fill="auto"/>
            <w:vAlign w:val="center"/>
          </w:tcPr>
          <w:p w14:paraId="1E9A65D6" w14:textId="64C0BEA6" w:rsidR="0085761C" w:rsidRDefault="0085761C" w:rsidP="0085761C">
            <w:pPr>
              <w:jc w:val="right"/>
              <w:rPr>
                <w:rFonts w:ascii="Arial" w:hAnsi="Arial" w:cs="Arial"/>
                <w:sz w:val="24"/>
                <w:szCs w:val="24"/>
              </w:rPr>
            </w:pPr>
            <w:r>
              <w:rPr>
                <w:rFonts w:ascii="Arial" w:hAnsi="Arial" w:cs="Arial"/>
                <w:color w:val="FF0000"/>
              </w:rPr>
              <w:t>-£777</w:t>
            </w:r>
          </w:p>
        </w:tc>
      </w:tr>
      <w:tr w:rsidR="0085761C" w14:paraId="7EBDEB0A" w14:textId="77777777" w:rsidTr="0085761C">
        <w:tc>
          <w:tcPr>
            <w:tcW w:w="5521" w:type="dxa"/>
            <w:tcBorders>
              <w:top w:val="nil"/>
              <w:left w:val="single" w:sz="8" w:space="0" w:color="auto"/>
              <w:bottom w:val="single" w:sz="8" w:space="0" w:color="auto"/>
              <w:right w:val="single" w:sz="8" w:space="0" w:color="auto"/>
            </w:tcBorders>
            <w:shd w:val="clear" w:color="auto" w:fill="auto"/>
            <w:vAlign w:val="center"/>
          </w:tcPr>
          <w:p w14:paraId="7DDCD9F6" w14:textId="515EE409" w:rsidR="0085761C" w:rsidRDefault="0085761C" w:rsidP="0085761C">
            <w:pPr>
              <w:rPr>
                <w:rFonts w:ascii="Arial" w:hAnsi="Arial" w:cs="Arial"/>
                <w:sz w:val="24"/>
                <w:szCs w:val="24"/>
              </w:rPr>
            </w:pPr>
            <w:r>
              <w:rPr>
                <w:rFonts w:ascii="Arial" w:hAnsi="Arial" w:cs="Arial"/>
                <w:b/>
                <w:bCs/>
                <w:color w:val="000000"/>
              </w:rPr>
              <w:t>Total Commitments 2021-22</w:t>
            </w:r>
          </w:p>
        </w:tc>
        <w:tc>
          <w:tcPr>
            <w:tcW w:w="1134" w:type="dxa"/>
            <w:tcBorders>
              <w:top w:val="nil"/>
              <w:left w:val="nil"/>
              <w:bottom w:val="single" w:sz="8" w:space="0" w:color="auto"/>
              <w:right w:val="single" w:sz="8" w:space="0" w:color="auto"/>
            </w:tcBorders>
            <w:shd w:val="clear" w:color="auto" w:fill="auto"/>
            <w:vAlign w:val="bottom"/>
          </w:tcPr>
          <w:p w14:paraId="1CA2AFE0" w14:textId="405EFF2B" w:rsidR="0085761C" w:rsidRDefault="0085761C" w:rsidP="0085761C">
            <w:pPr>
              <w:jc w:val="right"/>
              <w:rPr>
                <w:rFonts w:ascii="Arial" w:hAnsi="Arial" w:cs="Arial"/>
                <w:sz w:val="24"/>
                <w:szCs w:val="24"/>
              </w:rPr>
            </w:pPr>
            <w:r>
              <w:rPr>
                <w:rFonts w:ascii="Arial" w:hAnsi="Arial" w:cs="Arial"/>
                <w:b/>
                <w:bCs/>
                <w:color w:val="000000"/>
              </w:rPr>
              <w:t>£4,250</w:t>
            </w:r>
          </w:p>
        </w:tc>
        <w:tc>
          <w:tcPr>
            <w:tcW w:w="1134" w:type="dxa"/>
            <w:tcBorders>
              <w:top w:val="nil"/>
              <w:left w:val="nil"/>
              <w:bottom w:val="single" w:sz="8" w:space="0" w:color="auto"/>
              <w:right w:val="single" w:sz="8" w:space="0" w:color="auto"/>
            </w:tcBorders>
            <w:shd w:val="clear" w:color="auto" w:fill="auto"/>
            <w:vAlign w:val="bottom"/>
          </w:tcPr>
          <w:p w14:paraId="2841E171" w14:textId="176FDC8E" w:rsidR="0085761C" w:rsidRDefault="0085761C" w:rsidP="0085761C">
            <w:pPr>
              <w:jc w:val="right"/>
              <w:rPr>
                <w:rFonts w:ascii="Arial" w:hAnsi="Arial" w:cs="Arial"/>
                <w:sz w:val="24"/>
                <w:szCs w:val="24"/>
              </w:rPr>
            </w:pPr>
            <w:r>
              <w:rPr>
                <w:rFonts w:ascii="Arial" w:hAnsi="Arial" w:cs="Arial"/>
                <w:b/>
                <w:bCs/>
                <w:color w:val="000000"/>
              </w:rPr>
              <w:t>£3,114</w:t>
            </w:r>
          </w:p>
        </w:tc>
        <w:tc>
          <w:tcPr>
            <w:tcW w:w="1221" w:type="dxa"/>
            <w:tcBorders>
              <w:top w:val="nil"/>
              <w:left w:val="nil"/>
              <w:bottom w:val="single" w:sz="8" w:space="0" w:color="auto"/>
              <w:right w:val="single" w:sz="8" w:space="0" w:color="auto"/>
            </w:tcBorders>
            <w:shd w:val="clear" w:color="auto" w:fill="auto"/>
            <w:vAlign w:val="bottom"/>
          </w:tcPr>
          <w:p w14:paraId="02728751" w14:textId="396CF573" w:rsidR="0085761C" w:rsidRDefault="0085761C" w:rsidP="0085761C">
            <w:pPr>
              <w:jc w:val="right"/>
              <w:rPr>
                <w:rFonts w:ascii="Arial" w:hAnsi="Arial" w:cs="Arial"/>
                <w:sz w:val="24"/>
                <w:szCs w:val="24"/>
              </w:rPr>
            </w:pPr>
            <w:r>
              <w:rPr>
                <w:rFonts w:ascii="Arial" w:hAnsi="Arial" w:cs="Arial"/>
                <w:b/>
                <w:bCs/>
                <w:color w:val="FF0000"/>
              </w:rPr>
              <w:t>-£1,136</w:t>
            </w:r>
          </w:p>
        </w:tc>
      </w:tr>
    </w:tbl>
    <w:p w14:paraId="15722DF1" w14:textId="77777777" w:rsidR="00E05829" w:rsidRPr="004F4786" w:rsidRDefault="00E05829" w:rsidP="00E05829">
      <w:pPr>
        <w:rPr>
          <w:rFonts w:ascii="Arial" w:hAnsi="Arial" w:cs="Arial"/>
          <w:sz w:val="24"/>
          <w:szCs w:val="24"/>
        </w:rPr>
      </w:pPr>
    </w:p>
    <w:p w14:paraId="58592142" w14:textId="7A8B79E1" w:rsidR="00E05829" w:rsidRDefault="004F4786" w:rsidP="00BE5F52">
      <w:pPr>
        <w:pStyle w:val="ListParagraph"/>
        <w:numPr>
          <w:ilvl w:val="0"/>
          <w:numId w:val="1"/>
        </w:numPr>
        <w:rPr>
          <w:rFonts w:ascii="Arial" w:hAnsi="Arial" w:cs="Arial"/>
          <w:sz w:val="24"/>
          <w:szCs w:val="24"/>
        </w:rPr>
      </w:pPr>
      <w:r w:rsidRPr="004F4786">
        <w:rPr>
          <w:rFonts w:ascii="Arial" w:hAnsi="Arial" w:cs="Arial"/>
          <w:sz w:val="24"/>
          <w:szCs w:val="24"/>
        </w:rPr>
        <w:t xml:space="preserve">Whilst the majority of </w:t>
      </w:r>
      <w:r w:rsidR="0085761C">
        <w:rPr>
          <w:rFonts w:ascii="Arial" w:hAnsi="Arial" w:cs="Arial"/>
          <w:sz w:val="24"/>
          <w:szCs w:val="24"/>
        </w:rPr>
        <w:t xml:space="preserve">projects remain committed there is a projected underspend on the Covid Support Fund of £359k. This is after payment of funding to schools </w:t>
      </w:r>
      <w:proofErr w:type="gramStart"/>
      <w:r w:rsidR="0085761C">
        <w:rPr>
          <w:rFonts w:ascii="Arial" w:hAnsi="Arial" w:cs="Arial"/>
          <w:sz w:val="24"/>
          <w:szCs w:val="24"/>
        </w:rPr>
        <w:t>whose</w:t>
      </w:r>
      <w:proofErr w:type="gramEnd"/>
      <w:r w:rsidR="0085761C">
        <w:rPr>
          <w:rFonts w:ascii="Arial" w:hAnsi="Arial" w:cs="Arial"/>
          <w:sz w:val="24"/>
          <w:szCs w:val="24"/>
        </w:rPr>
        <w:t xml:space="preserve"> NOR increased by more than 2% between the October 2020 and May 2021 censuses.</w:t>
      </w:r>
    </w:p>
    <w:p w14:paraId="2A8BFC86" w14:textId="77777777" w:rsidR="0085761C" w:rsidRDefault="0085761C" w:rsidP="0085761C">
      <w:pPr>
        <w:pStyle w:val="ListParagraph"/>
        <w:rPr>
          <w:rFonts w:ascii="Arial" w:hAnsi="Arial" w:cs="Arial"/>
          <w:sz w:val="24"/>
          <w:szCs w:val="24"/>
        </w:rPr>
      </w:pPr>
    </w:p>
    <w:p w14:paraId="53CF9902" w14:textId="36A8138C" w:rsidR="0085761C" w:rsidRPr="004F4786" w:rsidRDefault="0085761C" w:rsidP="00BE5F52">
      <w:pPr>
        <w:pStyle w:val="ListParagraph"/>
        <w:numPr>
          <w:ilvl w:val="0"/>
          <w:numId w:val="1"/>
        </w:numPr>
        <w:rPr>
          <w:rFonts w:ascii="Arial" w:hAnsi="Arial" w:cs="Arial"/>
          <w:sz w:val="24"/>
          <w:szCs w:val="24"/>
        </w:rPr>
      </w:pPr>
      <w:r>
        <w:rPr>
          <w:rFonts w:ascii="Arial" w:hAnsi="Arial" w:cs="Arial"/>
          <w:sz w:val="24"/>
          <w:szCs w:val="24"/>
        </w:rPr>
        <w:t>In addition, there is the underspend on the growth fund of £777k released back to the contingency taking the total uncommitted funding to £1.136m.</w:t>
      </w:r>
    </w:p>
    <w:p w14:paraId="34DB001C" w14:textId="77777777" w:rsidR="004F4786" w:rsidRPr="004F4786" w:rsidRDefault="004F4786" w:rsidP="004F4786">
      <w:pPr>
        <w:pStyle w:val="ListParagraph"/>
        <w:rPr>
          <w:rFonts w:ascii="Arial" w:hAnsi="Arial" w:cs="Arial"/>
          <w:sz w:val="24"/>
          <w:szCs w:val="24"/>
        </w:rPr>
      </w:pPr>
    </w:p>
    <w:p w14:paraId="23476FE6" w14:textId="3747C608" w:rsidR="00BB5AFA" w:rsidRPr="004F4786" w:rsidRDefault="00BB5AFA" w:rsidP="00BE5F52">
      <w:pPr>
        <w:pStyle w:val="ListParagraph"/>
        <w:numPr>
          <w:ilvl w:val="0"/>
          <w:numId w:val="1"/>
        </w:numPr>
        <w:rPr>
          <w:rFonts w:ascii="Arial" w:hAnsi="Arial" w:cs="Arial"/>
          <w:sz w:val="24"/>
          <w:szCs w:val="24"/>
        </w:rPr>
      </w:pPr>
      <w:r w:rsidRPr="004F4786">
        <w:rPr>
          <w:rFonts w:ascii="Arial" w:hAnsi="Arial" w:cs="Arial"/>
          <w:sz w:val="24"/>
          <w:szCs w:val="24"/>
        </w:rPr>
        <w:t xml:space="preserve">Schools Forum </w:t>
      </w:r>
      <w:r w:rsidR="004F4786" w:rsidRPr="004F4786">
        <w:rPr>
          <w:rFonts w:ascii="Arial" w:hAnsi="Arial" w:cs="Arial"/>
          <w:sz w:val="24"/>
          <w:szCs w:val="24"/>
        </w:rPr>
        <w:t>is requested to:</w:t>
      </w:r>
    </w:p>
    <w:p w14:paraId="55E75709" w14:textId="77777777" w:rsidR="007D570A" w:rsidRPr="004F4786" w:rsidRDefault="007D570A" w:rsidP="007D570A">
      <w:pPr>
        <w:pStyle w:val="ListParagraph"/>
        <w:ind w:left="1440"/>
        <w:rPr>
          <w:rFonts w:ascii="Arial" w:hAnsi="Arial" w:cs="Arial"/>
          <w:sz w:val="24"/>
          <w:szCs w:val="24"/>
        </w:rPr>
      </w:pPr>
    </w:p>
    <w:p w14:paraId="2702DF6B" w14:textId="457AC756" w:rsidR="00BB5AFA" w:rsidRDefault="00A1152E" w:rsidP="00AC6CF6">
      <w:pPr>
        <w:pStyle w:val="ListParagraph"/>
        <w:numPr>
          <w:ilvl w:val="1"/>
          <w:numId w:val="12"/>
        </w:numPr>
        <w:rPr>
          <w:rFonts w:ascii="Arial" w:hAnsi="Arial" w:cs="Arial"/>
          <w:sz w:val="24"/>
          <w:szCs w:val="24"/>
        </w:rPr>
      </w:pPr>
      <w:r>
        <w:rPr>
          <w:rFonts w:ascii="Arial" w:hAnsi="Arial" w:cs="Arial"/>
          <w:sz w:val="24"/>
          <w:szCs w:val="24"/>
        </w:rPr>
        <w:lastRenderedPageBreak/>
        <w:t>Review the requirement for further commitments against the Covid Support Fund</w:t>
      </w:r>
    </w:p>
    <w:p w14:paraId="123E19FE" w14:textId="47B8A59A" w:rsidR="00A1152E" w:rsidRPr="004F4786" w:rsidRDefault="00A1152E" w:rsidP="00AC6CF6">
      <w:pPr>
        <w:pStyle w:val="ListParagraph"/>
        <w:numPr>
          <w:ilvl w:val="1"/>
          <w:numId w:val="12"/>
        </w:numPr>
        <w:rPr>
          <w:rFonts w:ascii="Arial" w:hAnsi="Arial" w:cs="Arial"/>
          <w:sz w:val="24"/>
          <w:szCs w:val="24"/>
        </w:rPr>
      </w:pPr>
      <w:r>
        <w:rPr>
          <w:rFonts w:ascii="Arial" w:hAnsi="Arial" w:cs="Arial"/>
          <w:sz w:val="24"/>
          <w:szCs w:val="24"/>
        </w:rPr>
        <w:t>Consider applying the remaining underspend to the 2022-23 Schools Funding Formula.</w:t>
      </w:r>
    </w:p>
    <w:p w14:paraId="753180FC" w14:textId="77777777" w:rsidR="007D570A" w:rsidRPr="00DB2126" w:rsidRDefault="007D570A" w:rsidP="00ED2AD6">
      <w:pPr>
        <w:rPr>
          <w:rFonts w:ascii="Arial" w:hAnsi="Arial" w:cs="Arial"/>
          <w:b/>
          <w:color w:val="FF0000"/>
          <w:sz w:val="32"/>
          <w:szCs w:val="32"/>
        </w:rPr>
      </w:pPr>
    </w:p>
    <w:p w14:paraId="072E2DCD" w14:textId="77777777" w:rsidR="007D570A" w:rsidRPr="00DB2126" w:rsidRDefault="007D570A" w:rsidP="00ED2AD6">
      <w:pPr>
        <w:rPr>
          <w:rFonts w:ascii="Arial" w:hAnsi="Arial" w:cs="Arial"/>
          <w:b/>
          <w:color w:val="FF0000"/>
          <w:sz w:val="32"/>
          <w:szCs w:val="32"/>
        </w:rPr>
      </w:pPr>
    </w:p>
    <w:p w14:paraId="119FB478" w14:textId="77777777" w:rsidR="007D570A" w:rsidRPr="00DB2126" w:rsidRDefault="007D570A" w:rsidP="00ED2AD6">
      <w:pPr>
        <w:rPr>
          <w:rFonts w:ascii="Arial" w:hAnsi="Arial" w:cs="Arial"/>
          <w:b/>
          <w:color w:val="FF0000"/>
          <w:sz w:val="32"/>
          <w:szCs w:val="32"/>
        </w:rPr>
      </w:pPr>
    </w:p>
    <w:p w14:paraId="36DB0C67" w14:textId="77777777" w:rsidR="007D570A" w:rsidRPr="00DB2126" w:rsidRDefault="007D570A" w:rsidP="00ED2AD6">
      <w:pPr>
        <w:rPr>
          <w:rFonts w:ascii="Arial" w:hAnsi="Arial" w:cs="Arial"/>
          <w:b/>
          <w:color w:val="FF0000"/>
          <w:sz w:val="32"/>
          <w:szCs w:val="32"/>
        </w:rPr>
      </w:pPr>
    </w:p>
    <w:p w14:paraId="0C7796B9" w14:textId="77777777" w:rsidR="007D570A" w:rsidRDefault="007D570A" w:rsidP="00ED2AD6">
      <w:pPr>
        <w:rPr>
          <w:rFonts w:ascii="Arial" w:hAnsi="Arial" w:cs="Arial"/>
          <w:b/>
          <w:sz w:val="32"/>
          <w:szCs w:val="32"/>
        </w:rPr>
      </w:pPr>
    </w:p>
    <w:p w14:paraId="62DDFFBC" w14:textId="77777777" w:rsidR="007D570A" w:rsidRDefault="007D570A" w:rsidP="00ED2AD6">
      <w:pPr>
        <w:rPr>
          <w:rFonts w:ascii="Arial" w:hAnsi="Arial" w:cs="Arial"/>
          <w:b/>
          <w:sz w:val="32"/>
          <w:szCs w:val="32"/>
        </w:rPr>
      </w:pPr>
    </w:p>
    <w:p w14:paraId="79A8C8E7" w14:textId="77777777" w:rsidR="00ED2AD6" w:rsidRPr="00CD0F15" w:rsidRDefault="00ED2AD6" w:rsidP="00ED2AD6">
      <w:pPr>
        <w:rPr>
          <w:rFonts w:ascii="Arial" w:hAnsi="Arial" w:cs="Arial"/>
          <w:b/>
        </w:rPr>
      </w:pPr>
      <w:r w:rsidRPr="00CD0F15">
        <w:rPr>
          <w:rFonts w:ascii="Arial" w:hAnsi="Arial" w:cs="Arial"/>
          <w:b/>
          <w:sz w:val="32"/>
          <w:szCs w:val="32"/>
        </w:rPr>
        <w:t>Section 3 – contact details</w:t>
      </w:r>
    </w:p>
    <w:p w14:paraId="5B303E8D" w14:textId="77777777" w:rsidR="00AE37A8" w:rsidRPr="00CD0F15" w:rsidRDefault="00AE37A8" w:rsidP="00AE37A8">
      <w:pPr>
        <w:pStyle w:val="Infotext"/>
        <w:rPr>
          <w:sz w:val="32"/>
          <w:szCs w:val="32"/>
        </w:rPr>
      </w:pPr>
      <w:r w:rsidRPr="00CD0F15">
        <w:rPr>
          <w:b/>
          <w:sz w:val="32"/>
          <w:szCs w:val="32"/>
        </w:rPr>
        <w:t>Contact:</w:t>
      </w:r>
      <w:r w:rsidRPr="00CD0F15">
        <w:rPr>
          <w:sz w:val="32"/>
          <w:szCs w:val="32"/>
        </w:rPr>
        <w:t xml:space="preserve">  </w:t>
      </w:r>
      <w:r w:rsidRPr="00CD0F15">
        <w:rPr>
          <w:sz w:val="32"/>
          <w:szCs w:val="32"/>
        </w:rPr>
        <w:tab/>
      </w:r>
    </w:p>
    <w:p w14:paraId="64DC9225" w14:textId="77777777" w:rsidR="00AE37A8" w:rsidRPr="00CD0F15" w:rsidRDefault="00AE37A8" w:rsidP="00AE37A8">
      <w:pPr>
        <w:pStyle w:val="Infotext"/>
        <w:rPr>
          <w:sz w:val="24"/>
          <w:szCs w:val="24"/>
        </w:rPr>
      </w:pPr>
    </w:p>
    <w:p w14:paraId="7CDF76FF" w14:textId="77777777" w:rsidR="00AE37A8" w:rsidRPr="00CD0F15" w:rsidRDefault="00AE37A8" w:rsidP="00AE37A8">
      <w:pPr>
        <w:pStyle w:val="Infotext"/>
        <w:ind w:firstLine="720"/>
        <w:rPr>
          <w:sz w:val="24"/>
          <w:szCs w:val="24"/>
        </w:rPr>
      </w:pPr>
      <w:r w:rsidRPr="00CD0F15">
        <w:rPr>
          <w:sz w:val="24"/>
          <w:szCs w:val="24"/>
        </w:rPr>
        <w:t>Jo Frost</w:t>
      </w:r>
    </w:p>
    <w:p w14:paraId="23E50182" w14:textId="77777777" w:rsidR="00AE37A8" w:rsidRPr="00CD0F15" w:rsidRDefault="00AE37A8" w:rsidP="00AE37A8">
      <w:pPr>
        <w:pStyle w:val="Infotext"/>
        <w:ind w:firstLine="720"/>
        <w:rPr>
          <w:rFonts w:cs="Arial"/>
          <w:sz w:val="24"/>
          <w:szCs w:val="24"/>
        </w:rPr>
      </w:pPr>
      <w:r w:rsidRPr="00CD0F15">
        <w:rPr>
          <w:sz w:val="24"/>
          <w:szCs w:val="24"/>
        </w:rPr>
        <w:t>Finance Business Partner – Children’s Services</w:t>
      </w:r>
    </w:p>
    <w:p w14:paraId="2377AF38" w14:textId="77777777" w:rsidR="00AE37A8" w:rsidRPr="00CD0F15" w:rsidRDefault="00AE37A8" w:rsidP="00AE37A8">
      <w:pPr>
        <w:pStyle w:val="Infotext"/>
        <w:ind w:firstLine="720"/>
        <w:rPr>
          <w:rFonts w:cs="Arial"/>
          <w:sz w:val="24"/>
          <w:szCs w:val="24"/>
        </w:rPr>
      </w:pPr>
      <w:r w:rsidRPr="00CD0F15">
        <w:rPr>
          <w:rFonts w:cs="Arial"/>
          <w:sz w:val="24"/>
          <w:szCs w:val="24"/>
        </w:rPr>
        <w:t>020 8424 1978</w:t>
      </w:r>
    </w:p>
    <w:p w14:paraId="4189CCC3" w14:textId="77777777" w:rsidR="00ED2AD6" w:rsidRPr="00CF613A" w:rsidRDefault="004502DD" w:rsidP="00CF613A">
      <w:pPr>
        <w:pStyle w:val="Infotext"/>
        <w:ind w:firstLine="720"/>
        <w:rPr>
          <w:rFonts w:cs="Arial"/>
          <w:color w:val="0070C0"/>
          <w:sz w:val="24"/>
          <w:szCs w:val="24"/>
        </w:rPr>
      </w:pPr>
      <w:hyperlink r:id="rId10" w:history="1">
        <w:r w:rsidR="00AE37A8" w:rsidRPr="000203A0">
          <w:rPr>
            <w:rStyle w:val="Hyperlink"/>
            <w:rFonts w:cs="Arial"/>
            <w:color w:val="0070C0"/>
            <w:sz w:val="24"/>
            <w:szCs w:val="24"/>
          </w:rPr>
          <w:t>Jo.Frost@harrow.gov.uk</w:t>
        </w:r>
      </w:hyperlink>
    </w:p>
    <w:sectPr w:rsidR="00ED2AD6" w:rsidRPr="00CF613A" w:rsidSect="002846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EFCCD" w14:textId="77777777" w:rsidR="00A13974" w:rsidRDefault="00A13974" w:rsidP="00AE37A8">
      <w:pPr>
        <w:spacing w:after="0" w:line="240" w:lineRule="auto"/>
      </w:pPr>
      <w:r>
        <w:separator/>
      </w:r>
    </w:p>
  </w:endnote>
  <w:endnote w:type="continuationSeparator" w:id="0">
    <w:p w14:paraId="163A4094" w14:textId="77777777" w:rsidR="00A13974" w:rsidRDefault="00A13974" w:rsidP="00A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771E6C" w14:textId="77777777" w:rsidR="00A13974" w:rsidRDefault="00A13974">
    <w:pPr>
      <w:pStyle w:val="Footer"/>
      <w:jc w:val="center"/>
    </w:pPr>
    <w:r>
      <w:fldChar w:fldCharType="begin"/>
    </w:r>
    <w:r>
      <w:instrText xml:space="preserve"> PAGE   \* MERGEFORMAT </w:instrText>
    </w:r>
    <w:r>
      <w:fldChar w:fldCharType="separate"/>
    </w:r>
    <w:r>
      <w:rPr>
        <w:noProof/>
      </w:rPr>
      <w:t>2</w:t>
    </w:r>
    <w:r>
      <w:rPr>
        <w:noProof/>
      </w:rPr>
      <w:fldChar w:fldCharType="end"/>
    </w:r>
  </w:p>
  <w:p w14:paraId="03D70BED" w14:textId="77777777" w:rsidR="00A13974" w:rsidRDefault="00A13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18D8F" w14:textId="77777777" w:rsidR="00A13974" w:rsidRDefault="00A13974" w:rsidP="00AE37A8">
      <w:pPr>
        <w:spacing w:after="0" w:line="240" w:lineRule="auto"/>
      </w:pPr>
      <w:r>
        <w:separator/>
      </w:r>
    </w:p>
  </w:footnote>
  <w:footnote w:type="continuationSeparator" w:id="0">
    <w:p w14:paraId="2CF1B60A" w14:textId="77777777" w:rsidR="00A13974" w:rsidRDefault="00A13974" w:rsidP="00AE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A01"/>
    <w:multiLevelType w:val="hybridMultilevel"/>
    <w:tmpl w:val="901AD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752F78"/>
    <w:multiLevelType w:val="hybridMultilevel"/>
    <w:tmpl w:val="89A28320"/>
    <w:lvl w:ilvl="0" w:tplc="18AA7CFE">
      <w:start w:val="1"/>
      <w:numFmt w:val="decimal"/>
      <w:lvlText w:val="%1."/>
      <w:lvlJc w:val="left"/>
      <w:pPr>
        <w:ind w:left="720"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7B2C86"/>
    <w:multiLevelType w:val="hybridMultilevel"/>
    <w:tmpl w:val="9DFEC8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61AF5"/>
    <w:multiLevelType w:val="hybridMultilevel"/>
    <w:tmpl w:val="AAEEF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F728FA"/>
    <w:multiLevelType w:val="multilevel"/>
    <w:tmpl w:val="85C2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F35C4E"/>
    <w:multiLevelType w:val="hybridMultilevel"/>
    <w:tmpl w:val="CA34E294"/>
    <w:lvl w:ilvl="0" w:tplc="08090001">
      <w:start w:val="1"/>
      <w:numFmt w:val="bullet"/>
      <w:lvlText w:val=""/>
      <w:lvlJc w:val="left"/>
      <w:pPr>
        <w:ind w:left="1778" w:hanging="360"/>
      </w:pPr>
      <w:rPr>
        <w:rFonts w:ascii="Symbol" w:hAnsi="Symbol" w:hint="default"/>
        <w:b/>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5A36D8"/>
    <w:multiLevelType w:val="hybridMultilevel"/>
    <w:tmpl w:val="0DB8ADE0"/>
    <w:lvl w:ilvl="0" w:tplc="18AA7CFE">
      <w:start w:val="1"/>
      <w:numFmt w:val="decimal"/>
      <w:lvlText w:val="%1."/>
      <w:lvlJc w:val="left"/>
      <w:pPr>
        <w:ind w:left="720"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5319A"/>
    <w:multiLevelType w:val="hybridMultilevel"/>
    <w:tmpl w:val="47587852"/>
    <w:lvl w:ilvl="0" w:tplc="08090017">
      <w:start w:val="1"/>
      <w:numFmt w:val="lowerLetter"/>
      <w:lvlText w:val="%1)"/>
      <w:lvlJc w:val="left"/>
      <w:pPr>
        <w:ind w:left="1506" w:hanging="360"/>
      </w:pPr>
    </w:lvl>
    <w:lvl w:ilvl="1" w:tplc="08090019">
      <w:start w:val="1"/>
      <w:numFmt w:val="lowerLetter"/>
      <w:lvlText w:val="%2."/>
      <w:lvlJc w:val="left"/>
      <w:pPr>
        <w:ind w:left="2226" w:hanging="360"/>
      </w:pPr>
    </w:lvl>
    <w:lvl w:ilvl="2" w:tplc="0809001B" w:tentative="1">
      <w:start w:val="1"/>
      <w:numFmt w:val="lowerRoman"/>
      <w:lvlText w:val="%3."/>
      <w:lvlJc w:val="right"/>
      <w:pPr>
        <w:ind w:left="2946" w:hanging="180"/>
      </w:pPr>
    </w:lvl>
    <w:lvl w:ilvl="3" w:tplc="0809000F" w:tentative="1">
      <w:start w:val="1"/>
      <w:numFmt w:val="decimal"/>
      <w:lvlText w:val="%4."/>
      <w:lvlJc w:val="left"/>
      <w:pPr>
        <w:ind w:left="3666" w:hanging="360"/>
      </w:pPr>
    </w:lvl>
    <w:lvl w:ilvl="4" w:tplc="08090019" w:tentative="1">
      <w:start w:val="1"/>
      <w:numFmt w:val="lowerLetter"/>
      <w:lvlText w:val="%5."/>
      <w:lvlJc w:val="left"/>
      <w:pPr>
        <w:ind w:left="4386" w:hanging="360"/>
      </w:pPr>
    </w:lvl>
    <w:lvl w:ilvl="5" w:tplc="0809001B" w:tentative="1">
      <w:start w:val="1"/>
      <w:numFmt w:val="lowerRoman"/>
      <w:lvlText w:val="%6."/>
      <w:lvlJc w:val="right"/>
      <w:pPr>
        <w:ind w:left="5106" w:hanging="180"/>
      </w:pPr>
    </w:lvl>
    <w:lvl w:ilvl="6" w:tplc="0809000F" w:tentative="1">
      <w:start w:val="1"/>
      <w:numFmt w:val="decimal"/>
      <w:lvlText w:val="%7."/>
      <w:lvlJc w:val="left"/>
      <w:pPr>
        <w:ind w:left="5826" w:hanging="360"/>
      </w:pPr>
    </w:lvl>
    <w:lvl w:ilvl="7" w:tplc="08090019" w:tentative="1">
      <w:start w:val="1"/>
      <w:numFmt w:val="lowerLetter"/>
      <w:lvlText w:val="%8."/>
      <w:lvlJc w:val="left"/>
      <w:pPr>
        <w:ind w:left="6546" w:hanging="360"/>
      </w:pPr>
    </w:lvl>
    <w:lvl w:ilvl="8" w:tplc="0809001B" w:tentative="1">
      <w:start w:val="1"/>
      <w:numFmt w:val="lowerRoman"/>
      <w:lvlText w:val="%9."/>
      <w:lvlJc w:val="right"/>
      <w:pPr>
        <w:ind w:left="7266" w:hanging="180"/>
      </w:pPr>
    </w:lvl>
  </w:abstractNum>
  <w:abstractNum w:abstractNumId="8" w15:restartNumberingAfterBreak="0">
    <w:nsid w:val="2D777A2D"/>
    <w:multiLevelType w:val="hybridMultilevel"/>
    <w:tmpl w:val="9F2498F0"/>
    <w:lvl w:ilvl="0" w:tplc="18AA7CFE">
      <w:start w:val="1"/>
      <w:numFmt w:val="decimal"/>
      <w:lvlText w:val="%1."/>
      <w:lvlJc w:val="left"/>
      <w:pPr>
        <w:ind w:left="720"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8C45FD"/>
    <w:multiLevelType w:val="hybridMultilevel"/>
    <w:tmpl w:val="1A8842AA"/>
    <w:lvl w:ilvl="0" w:tplc="C3D8CD1C">
      <w:start w:val="1"/>
      <w:numFmt w:val="decimal"/>
      <w:lvlText w:val="%1."/>
      <w:lvlJc w:val="left"/>
      <w:pPr>
        <w:ind w:left="786" w:hanging="360"/>
      </w:pPr>
      <w:rPr>
        <w:rFonts w:hint="default"/>
        <w:b w:val="0"/>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380549BE"/>
    <w:multiLevelType w:val="hybridMultilevel"/>
    <w:tmpl w:val="E916891A"/>
    <w:lvl w:ilvl="0" w:tplc="18AA7CFE">
      <w:start w:val="1"/>
      <w:numFmt w:val="decimal"/>
      <w:lvlText w:val="%1."/>
      <w:lvlJc w:val="left"/>
      <w:pPr>
        <w:ind w:left="720"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401595"/>
    <w:multiLevelType w:val="hybridMultilevel"/>
    <w:tmpl w:val="B074D69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005691"/>
    <w:multiLevelType w:val="hybridMultilevel"/>
    <w:tmpl w:val="A260C220"/>
    <w:lvl w:ilvl="0" w:tplc="FBD8102C">
      <w:start w:val="1"/>
      <w:numFmt w:val="decimal"/>
      <w:lvlText w:val="%1."/>
      <w:lvlJc w:val="left"/>
      <w:pPr>
        <w:ind w:left="786" w:hanging="360"/>
      </w:pPr>
      <w:rPr>
        <w:rFonts w:hint="default"/>
        <w:b w:val="0"/>
        <w:color w:val="auto"/>
        <w:sz w:val="24"/>
        <w:szCs w:val="24"/>
      </w:rPr>
    </w:lvl>
    <w:lvl w:ilvl="1" w:tplc="08090001">
      <w:start w:val="1"/>
      <w:numFmt w:val="bullet"/>
      <w:lvlText w:val=""/>
      <w:lvlJc w:val="left"/>
      <w:pPr>
        <w:ind w:left="1637"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23286E"/>
    <w:multiLevelType w:val="hybridMultilevel"/>
    <w:tmpl w:val="DFCE8914"/>
    <w:lvl w:ilvl="0" w:tplc="36887DF6">
      <w:start w:val="1"/>
      <w:numFmt w:val="decimal"/>
      <w:lvlText w:val="%1."/>
      <w:lvlJc w:val="left"/>
      <w:pPr>
        <w:ind w:left="720" w:hanging="360"/>
      </w:pPr>
      <w:rPr>
        <w:rFonts w:hint="default"/>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10E08"/>
    <w:multiLevelType w:val="hybridMultilevel"/>
    <w:tmpl w:val="E9FC1C0E"/>
    <w:lvl w:ilvl="0" w:tplc="08090017">
      <w:start w:val="1"/>
      <w:numFmt w:val="lowerLetter"/>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5" w15:restartNumberingAfterBreak="0">
    <w:nsid w:val="61105EA7"/>
    <w:multiLevelType w:val="hybridMultilevel"/>
    <w:tmpl w:val="244A797E"/>
    <w:lvl w:ilvl="0" w:tplc="5B182352">
      <w:start w:val="1"/>
      <w:numFmt w:val="decimal"/>
      <w:lvlText w:val="%1."/>
      <w:lvlJc w:val="left"/>
      <w:pPr>
        <w:ind w:left="720" w:hanging="360"/>
      </w:pPr>
      <w:rPr>
        <w:rFonts w:hint="default"/>
        <w:b w:val="0"/>
        <w:color w:val="auto"/>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2"/>
  </w:num>
  <w:num w:numId="5">
    <w:abstractNumId w:val="5"/>
  </w:num>
  <w:num w:numId="6">
    <w:abstractNumId w:val="9"/>
  </w:num>
  <w:num w:numId="7">
    <w:abstractNumId w:val="14"/>
  </w:num>
  <w:num w:numId="8">
    <w:abstractNumId w:val="7"/>
  </w:num>
  <w:num w:numId="9">
    <w:abstractNumId w:val="13"/>
  </w:num>
  <w:num w:numId="10">
    <w:abstractNumId w:val="0"/>
  </w:num>
  <w:num w:numId="11">
    <w:abstractNumId w:val="4"/>
  </w:num>
  <w:num w:numId="12">
    <w:abstractNumId w:val="6"/>
  </w:num>
  <w:num w:numId="13">
    <w:abstractNumId w:val="10"/>
  </w:num>
  <w:num w:numId="14">
    <w:abstractNumId w:val="12"/>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71"/>
    <w:rsid w:val="000203A0"/>
    <w:rsid w:val="000373C5"/>
    <w:rsid w:val="00041D20"/>
    <w:rsid w:val="0004336C"/>
    <w:rsid w:val="00045F6E"/>
    <w:rsid w:val="00051814"/>
    <w:rsid w:val="00057472"/>
    <w:rsid w:val="000662E3"/>
    <w:rsid w:val="000775A4"/>
    <w:rsid w:val="0008591D"/>
    <w:rsid w:val="00090E0A"/>
    <w:rsid w:val="000A5B59"/>
    <w:rsid w:val="000B16E4"/>
    <w:rsid w:val="000B5D26"/>
    <w:rsid w:val="000B6D8F"/>
    <w:rsid w:val="000C3E96"/>
    <w:rsid w:val="000C66CC"/>
    <w:rsid w:val="000D067B"/>
    <w:rsid w:val="000E1C02"/>
    <w:rsid w:val="000E4186"/>
    <w:rsid w:val="000F14E8"/>
    <w:rsid w:val="00101B52"/>
    <w:rsid w:val="001145B7"/>
    <w:rsid w:val="00124FF5"/>
    <w:rsid w:val="00127FF9"/>
    <w:rsid w:val="00134A6D"/>
    <w:rsid w:val="001412F2"/>
    <w:rsid w:val="00142055"/>
    <w:rsid w:val="00151582"/>
    <w:rsid w:val="00151C86"/>
    <w:rsid w:val="00155EA1"/>
    <w:rsid w:val="001728B9"/>
    <w:rsid w:val="00181F8D"/>
    <w:rsid w:val="001905AD"/>
    <w:rsid w:val="00192F79"/>
    <w:rsid w:val="001952A4"/>
    <w:rsid w:val="001A7B8F"/>
    <w:rsid w:val="001B1380"/>
    <w:rsid w:val="001D2DEB"/>
    <w:rsid w:val="001D78BA"/>
    <w:rsid w:val="001E73E3"/>
    <w:rsid w:val="001F0A4A"/>
    <w:rsid w:val="001F0F84"/>
    <w:rsid w:val="00202907"/>
    <w:rsid w:val="00212091"/>
    <w:rsid w:val="00212D4B"/>
    <w:rsid w:val="00214B81"/>
    <w:rsid w:val="002179F2"/>
    <w:rsid w:val="00226FE2"/>
    <w:rsid w:val="00234CAB"/>
    <w:rsid w:val="0024543C"/>
    <w:rsid w:val="00245CF9"/>
    <w:rsid w:val="00246C65"/>
    <w:rsid w:val="002846B0"/>
    <w:rsid w:val="002962A2"/>
    <w:rsid w:val="002A6956"/>
    <w:rsid w:val="002B4BE7"/>
    <w:rsid w:val="002B783C"/>
    <w:rsid w:val="002C385D"/>
    <w:rsid w:val="002C5B22"/>
    <w:rsid w:val="002D0676"/>
    <w:rsid w:val="002D77B1"/>
    <w:rsid w:val="002D7D07"/>
    <w:rsid w:val="002E3007"/>
    <w:rsid w:val="002F0F7D"/>
    <w:rsid w:val="00302EF8"/>
    <w:rsid w:val="00305C6B"/>
    <w:rsid w:val="00312993"/>
    <w:rsid w:val="00321418"/>
    <w:rsid w:val="003231B0"/>
    <w:rsid w:val="00325291"/>
    <w:rsid w:val="0033327D"/>
    <w:rsid w:val="0033344F"/>
    <w:rsid w:val="0033698F"/>
    <w:rsid w:val="00336A80"/>
    <w:rsid w:val="00337A80"/>
    <w:rsid w:val="00337EFA"/>
    <w:rsid w:val="00350F4D"/>
    <w:rsid w:val="003516DA"/>
    <w:rsid w:val="00390B6F"/>
    <w:rsid w:val="003C026A"/>
    <w:rsid w:val="003C3571"/>
    <w:rsid w:val="003C4803"/>
    <w:rsid w:val="003D3478"/>
    <w:rsid w:val="003E118A"/>
    <w:rsid w:val="003E2E5C"/>
    <w:rsid w:val="0042465F"/>
    <w:rsid w:val="004330D3"/>
    <w:rsid w:val="00434BD5"/>
    <w:rsid w:val="00446947"/>
    <w:rsid w:val="004502DD"/>
    <w:rsid w:val="004738B0"/>
    <w:rsid w:val="00481883"/>
    <w:rsid w:val="00483B41"/>
    <w:rsid w:val="00484D88"/>
    <w:rsid w:val="004A0ECE"/>
    <w:rsid w:val="004C1A01"/>
    <w:rsid w:val="004C450F"/>
    <w:rsid w:val="004C55A8"/>
    <w:rsid w:val="004C6FC8"/>
    <w:rsid w:val="004E6CD7"/>
    <w:rsid w:val="004F4786"/>
    <w:rsid w:val="004F65E6"/>
    <w:rsid w:val="004F6687"/>
    <w:rsid w:val="004F7D63"/>
    <w:rsid w:val="00513A24"/>
    <w:rsid w:val="00517C13"/>
    <w:rsid w:val="00520325"/>
    <w:rsid w:val="00520FB9"/>
    <w:rsid w:val="00530920"/>
    <w:rsid w:val="005328F0"/>
    <w:rsid w:val="00536ACB"/>
    <w:rsid w:val="00553B87"/>
    <w:rsid w:val="00557858"/>
    <w:rsid w:val="00557FB9"/>
    <w:rsid w:val="005754AB"/>
    <w:rsid w:val="005A3DA6"/>
    <w:rsid w:val="005C0C65"/>
    <w:rsid w:val="005D1495"/>
    <w:rsid w:val="005E5566"/>
    <w:rsid w:val="005F356B"/>
    <w:rsid w:val="005F6B67"/>
    <w:rsid w:val="006042B4"/>
    <w:rsid w:val="0060693B"/>
    <w:rsid w:val="00612A8F"/>
    <w:rsid w:val="00613451"/>
    <w:rsid w:val="0062751E"/>
    <w:rsid w:val="00635F53"/>
    <w:rsid w:val="006452FB"/>
    <w:rsid w:val="00647B5C"/>
    <w:rsid w:val="00660890"/>
    <w:rsid w:val="00671ADC"/>
    <w:rsid w:val="00677B59"/>
    <w:rsid w:val="0068229E"/>
    <w:rsid w:val="0068283C"/>
    <w:rsid w:val="0069009C"/>
    <w:rsid w:val="0069086F"/>
    <w:rsid w:val="00694625"/>
    <w:rsid w:val="006B1BE2"/>
    <w:rsid w:val="006B3FEB"/>
    <w:rsid w:val="006C2AC1"/>
    <w:rsid w:val="006E69BA"/>
    <w:rsid w:val="006E773A"/>
    <w:rsid w:val="007119F4"/>
    <w:rsid w:val="007211DF"/>
    <w:rsid w:val="00726B6E"/>
    <w:rsid w:val="0073124E"/>
    <w:rsid w:val="007313AA"/>
    <w:rsid w:val="007579ED"/>
    <w:rsid w:val="00765BF3"/>
    <w:rsid w:val="0077491F"/>
    <w:rsid w:val="007779AB"/>
    <w:rsid w:val="00791DA8"/>
    <w:rsid w:val="00797340"/>
    <w:rsid w:val="007A6353"/>
    <w:rsid w:val="007A7569"/>
    <w:rsid w:val="007A7606"/>
    <w:rsid w:val="007B4DBA"/>
    <w:rsid w:val="007B6200"/>
    <w:rsid w:val="007B7BAC"/>
    <w:rsid w:val="007C30BB"/>
    <w:rsid w:val="007D45B5"/>
    <w:rsid w:val="007D570A"/>
    <w:rsid w:val="007E1C85"/>
    <w:rsid w:val="007F4CD7"/>
    <w:rsid w:val="00804FF5"/>
    <w:rsid w:val="00815317"/>
    <w:rsid w:val="00827268"/>
    <w:rsid w:val="00827B7F"/>
    <w:rsid w:val="00827BAA"/>
    <w:rsid w:val="00832FFB"/>
    <w:rsid w:val="0084646D"/>
    <w:rsid w:val="0085255D"/>
    <w:rsid w:val="0085761C"/>
    <w:rsid w:val="0086321D"/>
    <w:rsid w:val="0086393D"/>
    <w:rsid w:val="00871195"/>
    <w:rsid w:val="008734AD"/>
    <w:rsid w:val="00874B70"/>
    <w:rsid w:val="00876092"/>
    <w:rsid w:val="00895267"/>
    <w:rsid w:val="008B0E92"/>
    <w:rsid w:val="008B2036"/>
    <w:rsid w:val="008B43BC"/>
    <w:rsid w:val="008B7135"/>
    <w:rsid w:val="008E1867"/>
    <w:rsid w:val="008F0C53"/>
    <w:rsid w:val="008F470B"/>
    <w:rsid w:val="009033A2"/>
    <w:rsid w:val="00904D4D"/>
    <w:rsid w:val="00906E42"/>
    <w:rsid w:val="00910813"/>
    <w:rsid w:val="00912A3E"/>
    <w:rsid w:val="00913D8B"/>
    <w:rsid w:val="009306B3"/>
    <w:rsid w:val="00933660"/>
    <w:rsid w:val="00941DB4"/>
    <w:rsid w:val="00946182"/>
    <w:rsid w:val="00951C09"/>
    <w:rsid w:val="009538BD"/>
    <w:rsid w:val="00967623"/>
    <w:rsid w:val="009731FB"/>
    <w:rsid w:val="009744D2"/>
    <w:rsid w:val="0099544D"/>
    <w:rsid w:val="009A308C"/>
    <w:rsid w:val="009B6652"/>
    <w:rsid w:val="009C0037"/>
    <w:rsid w:val="009D722D"/>
    <w:rsid w:val="009F1A2B"/>
    <w:rsid w:val="00A03293"/>
    <w:rsid w:val="00A03931"/>
    <w:rsid w:val="00A03E0B"/>
    <w:rsid w:val="00A1152E"/>
    <w:rsid w:val="00A13974"/>
    <w:rsid w:val="00A27780"/>
    <w:rsid w:val="00A54169"/>
    <w:rsid w:val="00A54CA5"/>
    <w:rsid w:val="00A66472"/>
    <w:rsid w:val="00A72C30"/>
    <w:rsid w:val="00AB4EF4"/>
    <w:rsid w:val="00AB7E7A"/>
    <w:rsid w:val="00AC6CF6"/>
    <w:rsid w:val="00AD090E"/>
    <w:rsid w:val="00AD4D49"/>
    <w:rsid w:val="00AD5C66"/>
    <w:rsid w:val="00AE37A8"/>
    <w:rsid w:val="00AF0DE9"/>
    <w:rsid w:val="00AF5EDE"/>
    <w:rsid w:val="00B205D0"/>
    <w:rsid w:val="00B332DB"/>
    <w:rsid w:val="00B35E74"/>
    <w:rsid w:val="00B67F43"/>
    <w:rsid w:val="00B71E9C"/>
    <w:rsid w:val="00B962F4"/>
    <w:rsid w:val="00BA18D1"/>
    <w:rsid w:val="00BB2BB4"/>
    <w:rsid w:val="00BB5AFA"/>
    <w:rsid w:val="00BC356E"/>
    <w:rsid w:val="00BC5075"/>
    <w:rsid w:val="00BC7FC8"/>
    <w:rsid w:val="00BD6787"/>
    <w:rsid w:val="00BE0F6B"/>
    <w:rsid w:val="00BE2EC6"/>
    <w:rsid w:val="00BE5F52"/>
    <w:rsid w:val="00C01126"/>
    <w:rsid w:val="00C0536A"/>
    <w:rsid w:val="00C11FCC"/>
    <w:rsid w:val="00C148AC"/>
    <w:rsid w:val="00C1702C"/>
    <w:rsid w:val="00C1762D"/>
    <w:rsid w:val="00C26F49"/>
    <w:rsid w:val="00C31A4C"/>
    <w:rsid w:val="00C56B36"/>
    <w:rsid w:val="00C653BC"/>
    <w:rsid w:val="00C66213"/>
    <w:rsid w:val="00C669D4"/>
    <w:rsid w:val="00C70AEC"/>
    <w:rsid w:val="00C72B97"/>
    <w:rsid w:val="00C73207"/>
    <w:rsid w:val="00C7413E"/>
    <w:rsid w:val="00C955DD"/>
    <w:rsid w:val="00CA45CB"/>
    <w:rsid w:val="00CA5E87"/>
    <w:rsid w:val="00CB7651"/>
    <w:rsid w:val="00CD063D"/>
    <w:rsid w:val="00CD0F15"/>
    <w:rsid w:val="00CD190F"/>
    <w:rsid w:val="00CD1D6D"/>
    <w:rsid w:val="00CD2697"/>
    <w:rsid w:val="00CD45BB"/>
    <w:rsid w:val="00CE2079"/>
    <w:rsid w:val="00CF29CD"/>
    <w:rsid w:val="00CF613A"/>
    <w:rsid w:val="00D00A41"/>
    <w:rsid w:val="00D044C4"/>
    <w:rsid w:val="00D07FB2"/>
    <w:rsid w:val="00D233EC"/>
    <w:rsid w:val="00D4135B"/>
    <w:rsid w:val="00D56F84"/>
    <w:rsid w:val="00D65148"/>
    <w:rsid w:val="00D70A0E"/>
    <w:rsid w:val="00D730F7"/>
    <w:rsid w:val="00D753FD"/>
    <w:rsid w:val="00D7797E"/>
    <w:rsid w:val="00D851F9"/>
    <w:rsid w:val="00DA038C"/>
    <w:rsid w:val="00DA3A82"/>
    <w:rsid w:val="00DA517B"/>
    <w:rsid w:val="00DB2126"/>
    <w:rsid w:val="00DB40C0"/>
    <w:rsid w:val="00DC01EB"/>
    <w:rsid w:val="00DC42DE"/>
    <w:rsid w:val="00DD0DD7"/>
    <w:rsid w:val="00DD13C0"/>
    <w:rsid w:val="00DE4109"/>
    <w:rsid w:val="00DE43EC"/>
    <w:rsid w:val="00DF0A46"/>
    <w:rsid w:val="00DF540E"/>
    <w:rsid w:val="00E00B7C"/>
    <w:rsid w:val="00E04208"/>
    <w:rsid w:val="00E05829"/>
    <w:rsid w:val="00E1366F"/>
    <w:rsid w:val="00E20405"/>
    <w:rsid w:val="00E240D9"/>
    <w:rsid w:val="00E24734"/>
    <w:rsid w:val="00E26DD7"/>
    <w:rsid w:val="00E319E1"/>
    <w:rsid w:val="00E3254C"/>
    <w:rsid w:val="00E3400D"/>
    <w:rsid w:val="00E40D15"/>
    <w:rsid w:val="00E4678A"/>
    <w:rsid w:val="00E501D1"/>
    <w:rsid w:val="00E5280E"/>
    <w:rsid w:val="00E53BCB"/>
    <w:rsid w:val="00E7158F"/>
    <w:rsid w:val="00E717FD"/>
    <w:rsid w:val="00E92849"/>
    <w:rsid w:val="00E932C9"/>
    <w:rsid w:val="00E965C9"/>
    <w:rsid w:val="00EA40C0"/>
    <w:rsid w:val="00EA5011"/>
    <w:rsid w:val="00EA6AC1"/>
    <w:rsid w:val="00EA6D38"/>
    <w:rsid w:val="00EB46F8"/>
    <w:rsid w:val="00EB487C"/>
    <w:rsid w:val="00EB4C41"/>
    <w:rsid w:val="00EB7689"/>
    <w:rsid w:val="00ED2AD6"/>
    <w:rsid w:val="00ED6938"/>
    <w:rsid w:val="00EE0CE1"/>
    <w:rsid w:val="00EF1443"/>
    <w:rsid w:val="00F03EE7"/>
    <w:rsid w:val="00F11A30"/>
    <w:rsid w:val="00F278B5"/>
    <w:rsid w:val="00F377E0"/>
    <w:rsid w:val="00F416CF"/>
    <w:rsid w:val="00F44124"/>
    <w:rsid w:val="00F4541F"/>
    <w:rsid w:val="00F57BFB"/>
    <w:rsid w:val="00F71D53"/>
    <w:rsid w:val="00F71E64"/>
    <w:rsid w:val="00F827F5"/>
    <w:rsid w:val="00FA3849"/>
    <w:rsid w:val="00FB418B"/>
    <w:rsid w:val="00FC02AE"/>
    <w:rsid w:val="00FC3EAD"/>
    <w:rsid w:val="00FC4C0E"/>
    <w:rsid w:val="00FD338B"/>
    <w:rsid w:val="00FD4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C703"/>
  <w15:docId w15:val="{4052F65D-75ED-4ED2-8933-244645B1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text">
    <w:name w:val="Info text"/>
    <w:basedOn w:val="Normal"/>
    <w:rsid w:val="003C3571"/>
    <w:pPr>
      <w:suppressAutoHyphens/>
      <w:spacing w:after="0" w:line="240" w:lineRule="auto"/>
    </w:pPr>
    <w:rPr>
      <w:rFonts w:ascii="Arial" w:eastAsia="Times New Roman" w:hAnsi="Arial"/>
      <w:sz w:val="28"/>
      <w:szCs w:val="20"/>
      <w:lang w:eastAsia="ar-SA"/>
    </w:rPr>
  </w:style>
  <w:style w:type="paragraph" w:customStyle="1" w:styleId="CharChar1CharCharCharCharCharCharCharChar">
    <w:name w:val="Char Char1 Char Char Char Char Char Char Char Char"/>
    <w:basedOn w:val="Normal"/>
    <w:rsid w:val="003C3571"/>
    <w:pPr>
      <w:spacing w:after="160" w:line="240" w:lineRule="exact"/>
    </w:pPr>
    <w:rPr>
      <w:rFonts w:ascii="Tahoma" w:eastAsia="Times New Roman" w:hAnsi="Tahoma"/>
      <w:sz w:val="20"/>
      <w:szCs w:val="20"/>
      <w:lang w:eastAsia="en-GB"/>
    </w:rPr>
  </w:style>
  <w:style w:type="table" w:styleId="TableGrid">
    <w:name w:val="Table Grid"/>
    <w:basedOn w:val="TableNormal"/>
    <w:rsid w:val="003C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37A8"/>
    <w:pPr>
      <w:tabs>
        <w:tab w:val="center" w:pos="4513"/>
        <w:tab w:val="right" w:pos="9026"/>
      </w:tabs>
    </w:pPr>
  </w:style>
  <w:style w:type="character" w:customStyle="1" w:styleId="HeaderChar">
    <w:name w:val="Header Char"/>
    <w:link w:val="Header"/>
    <w:uiPriority w:val="99"/>
    <w:rsid w:val="00AE37A8"/>
    <w:rPr>
      <w:sz w:val="22"/>
      <w:szCs w:val="22"/>
      <w:lang w:eastAsia="en-US"/>
    </w:rPr>
  </w:style>
  <w:style w:type="paragraph" w:styleId="Footer">
    <w:name w:val="footer"/>
    <w:basedOn w:val="Normal"/>
    <w:link w:val="FooterChar"/>
    <w:uiPriority w:val="99"/>
    <w:unhideWhenUsed/>
    <w:rsid w:val="00AE37A8"/>
    <w:pPr>
      <w:tabs>
        <w:tab w:val="center" w:pos="4513"/>
        <w:tab w:val="right" w:pos="9026"/>
      </w:tabs>
    </w:pPr>
  </w:style>
  <w:style w:type="character" w:customStyle="1" w:styleId="FooterChar">
    <w:name w:val="Footer Char"/>
    <w:link w:val="Footer"/>
    <w:uiPriority w:val="99"/>
    <w:rsid w:val="00AE37A8"/>
    <w:rPr>
      <w:sz w:val="22"/>
      <w:szCs w:val="22"/>
      <w:lang w:eastAsia="en-US"/>
    </w:rPr>
  </w:style>
  <w:style w:type="character" w:styleId="Hyperlink">
    <w:name w:val="Hyperlink"/>
    <w:rsid w:val="00AE37A8"/>
    <w:rPr>
      <w:color w:val="0000FF"/>
      <w:u w:val="single"/>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2962A2"/>
    <w:pPr>
      <w:ind w:left="720"/>
      <w:contextualSpacing/>
    </w:pPr>
  </w:style>
  <w:style w:type="paragraph" w:styleId="BalloonText">
    <w:name w:val="Balloon Text"/>
    <w:basedOn w:val="Normal"/>
    <w:link w:val="BalloonTextChar"/>
    <w:uiPriority w:val="99"/>
    <w:semiHidden/>
    <w:unhideWhenUsed/>
    <w:rsid w:val="00530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920"/>
    <w:rPr>
      <w:rFonts w:ascii="Tahoma" w:hAnsi="Tahoma" w:cs="Tahoma"/>
      <w:sz w:val="16"/>
      <w:szCs w:val="16"/>
      <w:lang w:eastAsia="en-US"/>
    </w:rPr>
  </w:style>
  <w:style w:type="paragraph" w:styleId="NormalWeb">
    <w:name w:val="Normal (Web)"/>
    <w:basedOn w:val="Normal"/>
    <w:uiPriority w:val="99"/>
    <w:unhideWhenUsed/>
    <w:rsid w:val="00946182"/>
    <w:pPr>
      <w:spacing w:before="100" w:beforeAutospacing="1" w:after="100" w:afterAutospacing="1" w:line="405" w:lineRule="atLeast"/>
    </w:pPr>
    <w:rPr>
      <w:rFonts w:ascii="LatoRegular" w:eastAsia="Times New Roman" w:hAnsi="LatoRegular"/>
      <w:color w:val="333333"/>
      <w:sz w:val="27"/>
      <w:szCs w:val="27"/>
      <w:lang w:eastAsia="en-GB"/>
    </w:rPr>
  </w:style>
  <w:style w:type="paragraph" w:customStyle="1" w:styleId="Default">
    <w:name w:val="Default"/>
    <w:rsid w:val="007F4CD7"/>
    <w:pPr>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basedOn w:val="DefaultParagraphFont"/>
    <w:link w:val="ListParagraph"/>
    <w:uiPriority w:val="34"/>
    <w:qFormat/>
    <w:locked/>
    <w:rsid w:val="00F4412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034848">
      <w:bodyDiv w:val="1"/>
      <w:marLeft w:val="0"/>
      <w:marRight w:val="0"/>
      <w:marTop w:val="0"/>
      <w:marBottom w:val="0"/>
      <w:divBdr>
        <w:top w:val="none" w:sz="0" w:space="0" w:color="auto"/>
        <w:left w:val="none" w:sz="0" w:space="0" w:color="auto"/>
        <w:bottom w:val="none" w:sz="0" w:space="0" w:color="auto"/>
        <w:right w:val="none" w:sz="0" w:space="0" w:color="auto"/>
      </w:divBdr>
    </w:div>
    <w:div w:id="671880752">
      <w:bodyDiv w:val="1"/>
      <w:marLeft w:val="0"/>
      <w:marRight w:val="0"/>
      <w:marTop w:val="0"/>
      <w:marBottom w:val="0"/>
      <w:divBdr>
        <w:top w:val="none" w:sz="0" w:space="0" w:color="auto"/>
        <w:left w:val="none" w:sz="0" w:space="0" w:color="auto"/>
        <w:bottom w:val="none" w:sz="0" w:space="0" w:color="auto"/>
        <w:right w:val="none" w:sz="0" w:space="0" w:color="auto"/>
      </w:divBdr>
    </w:div>
    <w:div w:id="1604454635">
      <w:bodyDiv w:val="1"/>
      <w:marLeft w:val="0"/>
      <w:marRight w:val="0"/>
      <w:marTop w:val="0"/>
      <w:marBottom w:val="0"/>
      <w:divBdr>
        <w:top w:val="none" w:sz="0" w:space="0" w:color="auto"/>
        <w:left w:val="none" w:sz="0" w:space="0" w:color="auto"/>
        <w:bottom w:val="none" w:sz="0" w:space="0" w:color="auto"/>
        <w:right w:val="none" w:sz="0" w:space="0" w:color="auto"/>
      </w:divBdr>
    </w:div>
    <w:div w:id="1702592028">
      <w:bodyDiv w:val="1"/>
      <w:marLeft w:val="0"/>
      <w:marRight w:val="0"/>
      <w:marTop w:val="0"/>
      <w:marBottom w:val="0"/>
      <w:divBdr>
        <w:top w:val="none" w:sz="0" w:space="0" w:color="auto"/>
        <w:left w:val="none" w:sz="0" w:space="0" w:color="auto"/>
        <w:bottom w:val="none" w:sz="0" w:space="0" w:color="auto"/>
        <w:right w:val="none" w:sz="0" w:space="0" w:color="auto"/>
      </w:divBdr>
    </w:div>
    <w:div w:id="17151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o.Frost@harrow.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843B8-0A46-404C-B21F-F58CB2FA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1701</Words>
  <Characters>9701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London Borough of Harrow Council</Company>
  <LinksUpToDate>false</LinksUpToDate>
  <CharactersWithSpaces>11380</CharactersWithSpaces>
  <SharedDoc>false</SharedDoc>
  <HLinks>
    <vt:vector size="6" baseType="variant">
      <vt:variant>
        <vt:i4>6750274</vt:i4>
      </vt:variant>
      <vt:variant>
        <vt:i4>0</vt:i4>
      </vt:variant>
      <vt:variant>
        <vt:i4>0</vt:i4>
      </vt:variant>
      <vt:variant>
        <vt:i4>5</vt:i4>
      </vt:variant>
      <vt:variant>
        <vt:lpwstr>mailto:Jo.Frost@harrow.gov.uk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Frost</dc:creator>
  <cp:lastModifiedBy>Vibulen Balendran</cp:lastModifiedBy>
  <cp:revision>2</cp:revision>
  <cp:lastPrinted>2017-06-29T07:44:00Z</cp:lastPrinted>
  <dcterms:created xsi:type="dcterms:W3CDTF">2021-11-11T11:30:00Z</dcterms:created>
  <dcterms:modified xsi:type="dcterms:W3CDTF">2021-11-11T11:30:00Z</dcterms:modified>
</cp:coreProperties>
</file>